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28"/>
          <w:szCs w:val="28"/>
        </w:rPr>
      </w:pPr>
      <w:r>
        <w:drawing>
          <wp:anchor distT="0" distB="0" distL="0" distR="0" simplePos="0" relativeHeight="251659264" behindDoc="1" locked="0" layoutInCell="1" allowOverlap="1">
            <wp:simplePos x="0" y="0"/>
            <wp:positionH relativeFrom="column">
              <wp:posOffset>1713865</wp:posOffset>
            </wp:positionH>
            <wp:positionV relativeFrom="paragraph">
              <wp:posOffset>5348605</wp:posOffset>
            </wp:positionV>
            <wp:extent cx="1438910" cy="1438910"/>
            <wp:effectExtent l="0" t="0" r="8890" b="8890"/>
            <wp:wrapNone/>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5"/>
                    <a:stretch>
                      <a:fillRect/>
                    </a:stretch>
                  </pic:blipFill>
                  <pic:spPr>
                    <a:xfrm>
                      <a:off x="0" y="0"/>
                      <a:ext cx="1438910" cy="1438910"/>
                    </a:xfrm>
                    <a:prstGeom prst="rect">
                      <a:avLst/>
                    </a:prstGeom>
                  </pic:spPr>
                </pic:pic>
              </a:graphicData>
            </a:graphic>
          </wp:anchor>
        </w:drawing>
      </w:r>
    </w:p>
    <w:p>
      <w:pPr>
        <w:spacing w:line="360" w:lineRule="auto"/>
        <w:rPr>
          <w:rFonts w:hint="eastAsia" w:ascii="黑体" w:hAnsi="黑体" w:eastAsia="黑体" w:cs="黑体"/>
          <w:sz w:val="28"/>
          <w:szCs w:val="28"/>
        </w:rPr>
      </w:pPr>
    </w:p>
    <w:p>
      <w:pPr>
        <w:spacing w:line="360" w:lineRule="auto"/>
        <w:rPr>
          <w:rFonts w:hint="eastAsia" w:ascii="黑体" w:hAnsi="黑体" w:eastAsia="黑体" w:cs="黑体"/>
          <w:sz w:val="28"/>
          <w:szCs w:val="28"/>
        </w:rPr>
      </w:pPr>
    </w:p>
    <w:p>
      <w:pPr>
        <w:spacing w:line="360" w:lineRule="auto"/>
        <w:rPr>
          <w:rFonts w:hint="eastAsia" w:ascii="黑体" w:hAnsi="黑体" w:eastAsia="黑体" w:cs="黑体"/>
          <w:sz w:val="28"/>
          <w:szCs w:val="28"/>
        </w:rPr>
      </w:pPr>
    </w:p>
    <w:p>
      <w:pPr>
        <w:spacing w:line="360" w:lineRule="auto"/>
        <w:jc w:val="center"/>
        <w:rPr>
          <w:rFonts w:hint="eastAsia" w:ascii="黑体" w:hAnsi="黑体" w:eastAsia="黑体" w:cs="黑体"/>
          <w:b/>
          <w:bCs w:val="0"/>
          <w:sz w:val="52"/>
          <w:szCs w:val="52"/>
        </w:rPr>
      </w:pPr>
      <w:r>
        <w:rPr>
          <w:rFonts w:hint="eastAsia" w:ascii="黑体" w:hAnsi="黑体" w:eastAsia="黑体" w:cs="黑体"/>
          <w:b/>
          <w:bCs w:val="0"/>
          <w:sz w:val="52"/>
          <w:szCs w:val="52"/>
          <w:lang w:val="en-US" w:eastAsia="zh-CN"/>
        </w:rPr>
        <w:t>产品碳足迹核查报告</w:t>
      </w:r>
    </w:p>
    <w:p>
      <w:pPr>
        <w:spacing w:line="360" w:lineRule="auto"/>
        <w:jc w:val="center"/>
        <w:rPr>
          <w:rFonts w:hint="eastAsia" w:ascii="黑体" w:hAnsi="黑体" w:eastAsia="黑体" w:cs="黑体"/>
          <w:b/>
          <w:bCs w:val="0"/>
          <w:sz w:val="28"/>
          <w:szCs w:val="28"/>
        </w:rPr>
      </w:pPr>
    </w:p>
    <w:p>
      <w:pPr>
        <w:spacing w:line="360" w:lineRule="auto"/>
        <w:jc w:val="center"/>
        <w:rPr>
          <w:rFonts w:hint="eastAsia" w:ascii="黑体" w:hAnsi="黑体" w:eastAsia="黑体" w:cs="黑体"/>
          <w:b/>
          <w:bCs w:val="0"/>
          <w:sz w:val="28"/>
          <w:szCs w:val="28"/>
        </w:rPr>
      </w:pPr>
    </w:p>
    <w:p>
      <w:pPr>
        <w:spacing w:line="360" w:lineRule="auto"/>
        <w:jc w:val="center"/>
        <w:rPr>
          <w:rFonts w:hint="eastAsia" w:ascii="黑体" w:hAnsi="黑体" w:eastAsia="黑体" w:cs="黑体"/>
          <w:b/>
          <w:bCs w:val="0"/>
          <w:sz w:val="28"/>
          <w:szCs w:val="28"/>
        </w:rPr>
      </w:pPr>
    </w:p>
    <w:p>
      <w:pPr>
        <w:spacing w:line="360" w:lineRule="auto"/>
        <w:jc w:val="center"/>
        <w:rPr>
          <w:rFonts w:hint="eastAsia" w:ascii="黑体" w:hAnsi="黑体" w:eastAsia="黑体" w:cs="黑体"/>
          <w:b/>
          <w:bCs w:val="0"/>
          <w:sz w:val="28"/>
          <w:szCs w:val="28"/>
        </w:rPr>
      </w:pPr>
    </w:p>
    <w:p>
      <w:pPr>
        <w:spacing w:line="360" w:lineRule="auto"/>
        <w:jc w:val="center"/>
        <w:rPr>
          <w:rFonts w:hint="eastAsia" w:ascii="黑体" w:hAnsi="黑体" w:eastAsia="黑体" w:cs="黑体"/>
          <w:b/>
          <w:bCs w:val="0"/>
          <w:sz w:val="28"/>
          <w:szCs w:val="28"/>
        </w:rPr>
      </w:pPr>
    </w:p>
    <w:p>
      <w:pPr>
        <w:spacing w:line="360" w:lineRule="auto"/>
        <w:jc w:val="center"/>
        <w:rPr>
          <w:rFonts w:hint="eastAsia" w:ascii="黑体" w:hAnsi="黑体" w:eastAsia="黑体" w:cs="黑体"/>
          <w:b/>
          <w:bCs w:val="0"/>
          <w:sz w:val="28"/>
          <w:szCs w:val="28"/>
        </w:rPr>
      </w:pPr>
    </w:p>
    <w:p>
      <w:pPr>
        <w:spacing w:line="360" w:lineRule="auto"/>
        <w:jc w:val="center"/>
        <w:rPr>
          <w:rFonts w:hint="eastAsia" w:ascii="黑体" w:hAnsi="黑体" w:eastAsia="黑体" w:cs="黑体"/>
          <w:b/>
          <w:bCs w:val="0"/>
          <w:sz w:val="28"/>
          <w:szCs w:val="28"/>
        </w:rPr>
      </w:pPr>
    </w:p>
    <w:p>
      <w:pPr>
        <w:spacing w:line="360" w:lineRule="auto"/>
        <w:rPr>
          <w:rFonts w:hint="eastAsia" w:ascii="黑体" w:hAnsi="黑体" w:eastAsia="黑体" w:cs="黑体"/>
          <w:b/>
          <w:bCs w:val="0"/>
          <w:sz w:val="28"/>
          <w:szCs w:val="28"/>
        </w:rPr>
      </w:pPr>
    </w:p>
    <w:p>
      <w:pPr>
        <w:spacing w:beforeLines="50" w:afterLines="50" w:line="360" w:lineRule="auto"/>
        <w:ind w:left="0" w:leftChars="0" w:firstLine="643" w:firstLineChars="200"/>
        <w:rPr>
          <w:rFonts w:hint="eastAsia" w:ascii="黑体" w:hAnsi="黑体" w:eastAsia="黑体" w:cs="黑体"/>
          <w:b/>
          <w:bCs w:val="0"/>
          <w:sz w:val="32"/>
          <w:szCs w:val="32"/>
          <w:lang w:eastAsia="zh-CN"/>
        </w:rPr>
      </w:pPr>
      <w:r>
        <w:rPr>
          <w:rFonts w:hint="eastAsia" w:ascii="黑体" w:hAnsi="黑体" w:eastAsia="黑体" w:cs="黑体"/>
          <w:b/>
          <w:bCs w:val="0"/>
          <w:sz w:val="32"/>
          <w:szCs w:val="32"/>
        </w:rPr>
        <w:t>报告主体（盖章）：</w:t>
      </w:r>
      <w:r>
        <w:rPr>
          <w:rFonts w:hint="eastAsia" w:ascii="黑体" w:hAnsi="黑体" w:eastAsia="黑体" w:cs="黑体"/>
          <w:b/>
          <w:bCs w:val="0"/>
          <w:sz w:val="32"/>
          <w:szCs w:val="32"/>
          <w:lang w:eastAsia="zh-CN"/>
        </w:rPr>
        <w:t>贵州嘉盈科技有限公司</w:t>
      </w:r>
    </w:p>
    <w:p>
      <w:pPr>
        <w:spacing w:beforeLines="50" w:afterLines="50" w:line="360" w:lineRule="auto"/>
        <w:ind w:left="0" w:leftChars="0"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rPr>
        <w:t>报告年度：</w:t>
      </w:r>
      <w:r>
        <w:rPr>
          <w:rFonts w:hint="eastAsia" w:ascii="黑体" w:hAnsi="黑体" w:eastAsia="黑体" w:cs="黑体"/>
          <w:b/>
          <w:bCs w:val="0"/>
          <w:sz w:val="32"/>
          <w:szCs w:val="32"/>
          <w:lang w:eastAsia="zh-CN"/>
        </w:rPr>
        <w:t>2022</w:t>
      </w:r>
      <w:r>
        <w:rPr>
          <w:rFonts w:hint="eastAsia" w:ascii="黑体" w:hAnsi="黑体" w:eastAsia="黑体" w:cs="黑体"/>
          <w:b/>
          <w:bCs w:val="0"/>
          <w:sz w:val="32"/>
          <w:szCs w:val="32"/>
        </w:rPr>
        <w:t>年</w:t>
      </w:r>
    </w:p>
    <w:p>
      <w:pPr>
        <w:spacing w:beforeLines="50" w:afterLines="50" w:line="360" w:lineRule="auto"/>
        <w:ind w:left="0" w:leftChars="0"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rPr>
        <w:t>编制日期：202</w:t>
      </w:r>
      <w:r>
        <w:rPr>
          <w:rFonts w:hint="eastAsia" w:ascii="黑体" w:hAnsi="黑体" w:eastAsia="黑体" w:cs="黑体"/>
          <w:b/>
          <w:bCs w:val="0"/>
          <w:sz w:val="32"/>
          <w:szCs w:val="32"/>
          <w:lang w:val="en-US" w:eastAsia="zh-CN"/>
        </w:rPr>
        <w:t>3</w:t>
      </w:r>
      <w:r>
        <w:rPr>
          <w:rFonts w:hint="eastAsia" w:ascii="黑体" w:hAnsi="黑体" w:eastAsia="黑体" w:cs="黑体"/>
          <w:b/>
          <w:bCs w:val="0"/>
          <w:sz w:val="32"/>
          <w:szCs w:val="32"/>
        </w:rPr>
        <w:t>年</w:t>
      </w:r>
      <w:r>
        <w:rPr>
          <w:rFonts w:hint="eastAsia" w:ascii="黑体" w:hAnsi="黑体" w:eastAsia="黑体" w:cs="黑体"/>
          <w:b/>
          <w:bCs w:val="0"/>
          <w:sz w:val="32"/>
          <w:szCs w:val="32"/>
          <w:lang w:val="en-US" w:eastAsia="zh-CN"/>
        </w:rPr>
        <w:t>2</w:t>
      </w:r>
      <w:r>
        <w:rPr>
          <w:rFonts w:hint="eastAsia" w:ascii="黑体" w:hAnsi="黑体" w:eastAsia="黑体" w:cs="黑体"/>
          <w:b/>
          <w:bCs w:val="0"/>
          <w:sz w:val="32"/>
          <w:szCs w:val="32"/>
        </w:rPr>
        <w:t>月</w:t>
      </w:r>
      <w:r>
        <w:rPr>
          <w:rFonts w:hint="eastAsia" w:ascii="黑体" w:hAnsi="黑体" w:eastAsia="黑体" w:cs="黑体"/>
          <w:b/>
          <w:bCs w:val="0"/>
          <w:sz w:val="32"/>
          <w:szCs w:val="32"/>
          <w:lang w:val="en-US" w:eastAsia="zh-CN"/>
        </w:rPr>
        <w:t>8</w:t>
      </w:r>
      <w:r>
        <w:rPr>
          <w:rFonts w:hint="eastAsia" w:ascii="黑体" w:hAnsi="黑体" w:eastAsia="黑体" w:cs="黑体"/>
          <w:b/>
          <w:bCs w:val="0"/>
          <w:sz w:val="32"/>
          <w:szCs w:val="32"/>
        </w:rPr>
        <w:t>日</w:t>
      </w: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spacing w:afterLines="50" w:line="360" w:lineRule="auto"/>
        <w:jc w:val="center"/>
        <w:rPr>
          <w:rFonts w:hint="default" w:ascii="Times New Roman" w:hAnsi="Times New Roman" w:eastAsia="仿宋" w:cs="Times New Roman"/>
          <w:b/>
          <w:bCs/>
          <w:kern w:val="0"/>
          <w:sz w:val="36"/>
          <w:szCs w:val="36"/>
        </w:rPr>
      </w:pPr>
      <w:r>
        <w:rPr>
          <w:rFonts w:hint="default" w:ascii="Times New Roman" w:hAnsi="Times New Roman" w:eastAsia="仿宋" w:cs="Times New Roman"/>
          <w:b/>
          <w:bCs/>
          <w:kern w:val="0"/>
          <w:sz w:val="36"/>
          <w:szCs w:val="36"/>
        </w:rPr>
        <w:t>目</w:t>
      </w:r>
      <w:r>
        <w:rPr>
          <w:rFonts w:hint="default" w:ascii="Times New Roman" w:hAnsi="Times New Roman" w:eastAsia="仿宋" w:cs="Times New Roman"/>
          <w:b/>
          <w:bCs/>
          <w:kern w:val="0"/>
          <w:sz w:val="36"/>
          <w:szCs w:val="36"/>
          <w:lang w:val="en-US" w:eastAsia="zh-CN"/>
        </w:rPr>
        <w:t xml:space="preserve"> </w:t>
      </w:r>
      <w:r>
        <w:rPr>
          <w:rFonts w:hint="default" w:ascii="Times New Roman" w:hAnsi="Times New Roman" w:eastAsia="仿宋" w:cs="Times New Roman"/>
          <w:b/>
          <w:bCs/>
          <w:kern w:val="0"/>
          <w:sz w:val="36"/>
          <w:szCs w:val="36"/>
        </w:rPr>
        <w:t>录</w:t>
      </w: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8"/>
        <w:tabs>
          <w:tab w:val="right" w:leader="dot" w:pos="8306"/>
        </w:tabs>
        <w:spacing w:line="720" w:lineRule="auto"/>
        <w:rPr>
          <w:rFonts w:hint="eastAsia" w:ascii="仿宋" w:hAnsi="仿宋" w:eastAsia="仿宋" w:cs="仿宋"/>
          <w:sz w:val="28"/>
          <w:szCs w:val="32"/>
        </w:rPr>
      </w:pPr>
      <w:r>
        <w:rPr>
          <w:rFonts w:hint="eastAsia" w:ascii="Times New Roman" w:hAnsi="Times New Roman" w:eastAsia="仿宋_GB2312" w:cs="Times New Roman"/>
          <w:b/>
          <w:bCs/>
          <w:color w:val="auto"/>
          <w:kern w:val="0"/>
          <w:sz w:val="28"/>
          <w:szCs w:val="28"/>
          <w:highlight w:val="none"/>
          <w:lang w:val="en-US" w:eastAsia="zh-CN"/>
        </w:rPr>
        <w:fldChar w:fldCharType="begin"/>
      </w:r>
      <w:r>
        <w:rPr>
          <w:rFonts w:hint="eastAsia" w:ascii="Times New Roman" w:hAnsi="Times New Roman" w:eastAsia="仿宋_GB2312" w:cs="Times New Roman"/>
          <w:b/>
          <w:bCs/>
          <w:color w:val="auto"/>
          <w:kern w:val="0"/>
          <w:sz w:val="28"/>
          <w:szCs w:val="28"/>
          <w:highlight w:val="none"/>
          <w:lang w:val="en-US" w:eastAsia="zh-CN"/>
        </w:rPr>
        <w:instrText xml:space="preserve">TOC \o "1-3" \h \u </w:instrText>
      </w:r>
      <w:r>
        <w:rPr>
          <w:rFonts w:hint="eastAsia" w:ascii="Times New Roman" w:hAnsi="Times New Roman" w:eastAsia="仿宋_GB2312" w:cs="Times New Roman"/>
          <w:b/>
          <w:bCs/>
          <w:color w:val="auto"/>
          <w:kern w:val="0"/>
          <w:sz w:val="28"/>
          <w:szCs w:val="28"/>
          <w:highlight w:val="none"/>
          <w:lang w:val="en-US" w:eastAsia="zh-CN"/>
        </w:rPr>
        <w:fldChar w:fldCharType="separate"/>
      </w:r>
      <w:r>
        <w:rPr>
          <w:rFonts w:hint="eastAsia" w:ascii="仿宋" w:hAnsi="仿宋" w:eastAsia="仿宋" w:cs="仿宋"/>
          <w:bCs/>
          <w:color w:val="auto"/>
          <w:kern w:val="0"/>
          <w:sz w:val="28"/>
          <w:szCs w:val="40"/>
          <w:highlight w:val="none"/>
          <w:lang w:val="en-US" w:eastAsia="zh-CN"/>
        </w:rPr>
        <w:fldChar w:fldCharType="begin"/>
      </w:r>
      <w:r>
        <w:rPr>
          <w:rFonts w:hint="eastAsia" w:ascii="仿宋" w:hAnsi="仿宋" w:eastAsia="仿宋" w:cs="仿宋"/>
          <w:bCs/>
          <w:kern w:val="0"/>
          <w:sz w:val="28"/>
          <w:szCs w:val="40"/>
          <w:highlight w:val="none"/>
          <w:lang w:val="en-US" w:eastAsia="zh-CN"/>
        </w:rPr>
        <w:instrText xml:space="preserve"> HYPERLINK \l _Toc30079 </w:instrText>
      </w:r>
      <w:r>
        <w:rPr>
          <w:rFonts w:hint="eastAsia" w:ascii="仿宋" w:hAnsi="仿宋" w:eastAsia="仿宋" w:cs="仿宋"/>
          <w:bCs/>
          <w:kern w:val="0"/>
          <w:sz w:val="28"/>
          <w:szCs w:val="40"/>
          <w:highlight w:val="none"/>
          <w:lang w:val="en-US" w:eastAsia="zh-CN"/>
        </w:rPr>
        <w:fldChar w:fldCharType="separate"/>
      </w:r>
      <w:r>
        <w:rPr>
          <w:rFonts w:hint="eastAsia" w:ascii="仿宋" w:hAnsi="仿宋" w:eastAsia="仿宋" w:cs="仿宋"/>
          <w:bCs/>
          <w:kern w:val="0"/>
          <w:sz w:val="28"/>
          <w:szCs w:val="36"/>
          <w:highlight w:val="none"/>
          <w:lang w:val="en-US" w:eastAsia="zh-CN"/>
        </w:rPr>
        <w:t>一、</w:t>
      </w:r>
      <w:r>
        <w:rPr>
          <w:rFonts w:hint="eastAsia" w:ascii="仿宋" w:hAnsi="仿宋" w:eastAsia="仿宋" w:cs="仿宋"/>
          <w:sz w:val="28"/>
          <w:szCs w:val="44"/>
          <w:lang w:val="en-US" w:eastAsia="zh-CN"/>
        </w:rPr>
        <w:t>概述</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_Toc30079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bCs/>
          <w:color w:val="auto"/>
          <w:kern w:val="0"/>
          <w:sz w:val="28"/>
          <w:szCs w:val="40"/>
          <w:highlight w:val="none"/>
          <w:lang w:val="en-US" w:eastAsia="zh-CN"/>
        </w:rPr>
        <w:fldChar w:fldCharType="end"/>
      </w:r>
    </w:p>
    <w:p>
      <w:pPr>
        <w:pStyle w:val="8"/>
        <w:tabs>
          <w:tab w:val="right" w:leader="dot" w:pos="8306"/>
        </w:tabs>
        <w:spacing w:line="720" w:lineRule="auto"/>
        <w:rPr>
          <w:rFonts w:hint="eastAsia" w:ascii="仿宋" w:hAnsi="仿宋" w:eastAsia="仿宋" w:cs="仿宋"/>
          <w:sz w:val="28"/>
          <w:szCs w:val="32"/>
        </w:rPr>
      </w:pPr>
      <w:r>
        <w:rPr>
          <w:rFonts w:hint="eastAsia" w:ascii="仿宋" w:hAnsi="仿宋" w:eastAsia="仿宋" w:cs="仿宋"/>
          <w:bCs/>
          <w:color w:val="auto"/>
          <w:kern w:val="0"/>
          <w:sz w:val="28"/>
          <w:szCs w:val="40"/>
          <w:highlight w:val="none"/>
          <w:lang w:val="en-US" w:eastAsia="zh-CN"/>
        </w:rPr>
        <w:fldChar w:fldCharType="begin"/>
      </w:r>
      <w:r>
        <w:rPr>
          <w:rFonts w:hint="eastAsia" w:ascii="仿宋" w:hAnsi="仿宋" w:eastAsia="仿宋" w:cs="仿宋"/>
          <w:bCs/>
          <w:kern w:val="0"/>
          <w:sz w:val="28"/>
          <w:szCs w:val="40"/>
          <w:highlight w:val="none"/>
          <w:lang w:val="en-US" w:eastAsia="zh-CN"/>
        </w:rPr>
        <w:instrText xml:space="preserve"> HYPERLINK \l _Toc3896 </w:instrText>
      </w:r>
      <w:r>
        <w:rPr>
          <w:rFonts w:hint="eastAsia" w:ascii="仿宋" w:hAnsi="仿宋" w:eastAsia="仿宋" w:cs="仿宋"/>
          <w:bCs/>
          <w:kern w:val="0"/>
          <w:sz w:val="28"/>
          <w:szCs w:val="40"/>
          <w:highlight w:val="none"/>
          <w:lang w:val="en-US" w:eastAsia="zh-CN"/>
        </w:rPr>
        <w:fldChar w:fldCharType="separate"/>
      </w:r>
      <w:r>
        <w:rPr>
          <w:rFonts w:hint="eastAsia" w:ascii="仿宋" w:hAnsi="仿宋" w:eastAsia="仿宋" w:cs="仿宋"/>
          <w:bCs/>
          <w:kern w:val="0"/>
          <w:sz w:val="28"/>
          <w:szCs w:val="44"/>
          <w:highlight w:val="none"/>
          <w:lang w:val="en-US" w:eastAsia="zh-CN"/>
        </w:rPr>
        <w:t>二、核查的过程和方法</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_Toc3896 \h </w:instrText>
      </w:r>
      <w:r>
        <w:rPr>
          <w:rFonts w:hint="eastAsia" w:ascii="仿宋" w:hAnsi="仿宋" w:eastAsia="仿宋" w:cs="仿宋"/>
          <w:sz w:val="28"/>
          <w:szCs w:val="32"/>
        </w:rPr>
        <w:fldChar w:fldCharType="separate"/>
      </w:r>
      <w:r>
        <w:rPr>
          <w:rFonts w:hint="eastAsia" w:ascii="仿宋" w:hAnsi="仿宋" w:eastAsia="仿宋" w:cs="仿宋"/>
          <w:sz w:val="28"/>
          <w:szCs w:val="32"/>
        </w:rPr>
        <w:t>3</w:t>
      </w:r>
      <w:r>
        <w:rPr>
          <w:rFonts w:hint="eastAsia" w:ascii="仿宋" w:hAnsi="仿宋" w:eastAsia="仿宋" w:cs="仿宋"/>
          <w:sz w:val="28"/>
          <w:szCs w:val="32"/>
        </w:rPr>
        <w:fldChar w:fldCharType="end"/>
      </w:r>
      <w:r>
        <w:rPr>
          <w:rFonts w:hint="eastAsia" w:ascii="仿宋" w:hAnsi="仿宋" w:eastAsia="仿宋" w:cs="仿宋"/>
          <w:bCs/>
          <w:color w:val="auto"/>
          <w:kern w:val="0"/>
          <w:sz w:val="28"/>
          <w:szCs w:val="40"/>
          <w:highlight w:val="none"/>
          <w:lang w:val="en-US" w:eastAsia="zh-CN"/>
        </w:rPr>
        <w:fldChar w:fldCharType="end"/>
      </w:r>
    </w:p>
    <w:p>
      <w:pPr>
        <w:pStyle w:val="8"/>
        <w:tabs>
          <w:tab w:val="right" w:leader="dot" w:pos="8306"/>
        </w:tabs>
        <w:spacing w:line="720" w:lineRule="auto"/>
        <w:rPr>
          <w:rFonts w:hint="eastAsia" w:ascii="仿宋" w:hAnsi="仿宋" w:eastAsia="仿宋" w:cs="仿宋"/>
          <w:sz w:val="28"/>
          <w:szCs w:val="32"/>
        </w:rPr>
      </w:pPr>
      <w:r>
        <w:rPr>
          <w:rFonts w:hint="eastAsia" w:ascii="仿宋" w:hAnsi="仿宋" w:eastAsia="仿宋" w:cs="仿宋"/>
          <w:bCs/>
          <w:color w:val="auto"/>
          <w:kern w:val="0"/>
          <w:sz w:val="28"/>
          <w:szCs w:val="40"/>
          <w:highlight w:val="none"/>
          <w:lang w:val="en-US" w:eastAsia="zh-CN"/>
        </w:rPr>
        <w:fldChar w:fldCharType="begin"/>
      </w:r>
      <w:r>
        <w:rPr>
          <w:rFonts w:hint="eastAsia" w:ascii="仿宋" w:hAnsi="仿宋" w:eastAsia="仿宋" w:cs="仿宋"/>
          <w:bCs/>
          <w:kern w:val="0"/>
          <w:sz w:val="28"/>
          <w:szCs w:val="40"/>
          <w:highlight w:val="none"/>
          <w:lang w:val="en-US" w:eastAsia="zh-CN"/>
        </w:rPr>
        <w:instrText xml:space="preserve"> HYPERLINK \l _Toc25166 </w:instrText>
      </w:r>
      <w:r>
        <w:rPr>
          <w:rFonts w:hint="eastAsia" w:ascii="仿宋" w:hAnsi="仿宋" w:eastAsia="仿宋" w:cs="仿宋"/>
          <w:bCs/>
          <w:kern w:val="0"/>
          <w:sz w:val="28"/>
          <w:szCs w:val="40"/>
          <w:highlight w:val="none"/>
          <w:lang w:val="en-US" w:eastAsia="zh-CN"/>
        </w:rPr>
        <w:fldChar w:fldCharType="separate"/>
      </w:r>
      <w:r>
        <w:rPr>
          <w:rFonts w:hint="eastAsia" w:ascii="仿宋" w:hAnsi="仿宋" w:eastAsia="仿宋" w:cs="仿宋"/>
          <w:bCs/>
          <w:kern w:val="0"/>
          <w:sz w:val="28"/>
          <w:szCs w:val="44"/>
          <w:highlight w:val="none"/>
          <w:lang w:val="en-US" w:eastAsia="zh-CN"/>
        </w:rPr>
        <w:t>三、产品碳足迹核查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_Toc25166 \h </w:instrText>
      </w:r>
      <w:r>
        <w:rPr>
          <w:rFonts w:hint="eastAsia" w:ascii="仿宋" w:hAnsi="仿宋" w:eastAsia="仿宋" w:cs="仿宋"/>
          <w:sz w:val="28"/>
          <w:szCs w:val="32"/>
        </w:rPr>
        <w:fldChar w:fldCharType="separate"/>
      </w:r>
      <w:r>
        <w:rPr>
          <w:rFonts w:hint="eastAsia" w:ascii="仿宋" w:hAnsi="仿宋" w:eastAsia="仿宋" w:cs="仿宋"/>
          <w:sz w:val="28"/>
          <w:szCs w:val="32"/>
        </w:rPr>
        <w:t>4</w:t>
      </w:r>
      <w:r>
        <w:rPr>
          <w:rFonts w:hint="eastAsia" w:ascii="仿宋" w:hAnsi="仿宋" w:eastAsia="仿宋" w:cs="仿宋"/>
          <w:sz w:val="28"/>
          <w:szCs w:val="32"/>
        </w:rPr>
        <w:fldChar w:fldCharType="end"/>
      </w:r>
      <w:r>
        <w:rPr>
          <w:rFonts w:hint="eastAsia" w:ascii="仿宋" w:hAnsi="仿宋" w:eastAsia="仿宋" w:cs="仿宋"/>
          <w:bCs/>
          <w:color w:val="auto"/>
          <w:kern w:val="0"/>
          <w:sz w:val="28"/>
          <w:szCs w:val="40"/>
          <w:highlight w:val="none"/>
          <w:lang w:val="en-US" w:eastAsia="zh-CN"/>
        </w:rPr>
        <w:fldChar w:fldCharType="end"/>
      </w:r>
    </w:p>
    <w:p>
      <w:pPr>
        <w:pStyle w:val="8"/>
        <w:tabs>
          <w:tab w:val="right" w:leader="dot" w:pos="8306"/>
        </w:tabs>
        <w:spacing w:line="720" w:lineRule="auto"/>
        <w:rPr>
          <w:rFonts w:hint="eastAsia" w:ascii="仿宋" w:hAnsi="仿宋" w:eastAsia="仿宋" w:cs="仿宋"/>
          <w:sz w:val="28"/>
          <w:szCs w:val="32"/>
        </w:rPr>
      </w:pPr>
      <w:r>
        <w:rPr>
          <w:rFonts w:hint="eastAsia" w:ascii="仿宋" w:hAnsi="仿宋" w:eastAsia="仿宋" w:cs="仿宋"/>
          <w:bCs/>
          <w:color w:val="auto"/>
          <w:kern w:val="0"/>
          <w:sz w:val="28"/>
          <w:szCs w:val="40"/>
          <w:highlight w:val="none"/>
          <w:lang w:val="en-US" w:eastAsia="zh-CN"/>
        </w:rPr>
        <w:fldChar w:fldCharType="begin"/>
      </w:r>
      <w:r>
        <w:rPr>
          <w:rFonts w:hint="eastAsia" w:ascii="仿宋" w:hAnsi="仿宋" w:eastAsia="仿宋" w:cs="仿宋"/>
          <w:bCs/>
          <w:kern w:val="0"/>
          <w:sz w:val="28"/>
          <w:szCs w:val="40"/>
          <w:highlight w:val="none"/>
          <w:lang w:val="en-US" w:eastAsia="zh-CN"/>
        </w:rPr>
        <w:instrText xml:space="preserve"> HYPERLINK \l _Toc12855 </w:instrText>
      </w:r>
      <w:r>
        <w:rPr>
          <w:rFonts w:hint="eastAsia" w:ascii="仿宋" w:hAnsi="仿宋" w:eastAsia="仿宋" w:cs="仿宋"/>
          <w:bCs/>
          <w:kern w:val="0"/>
          <w:sz w:val="28"/>
          <w:szCs w:val="40"/>
          <w:highlight w:val="none"/>
          <w:lang w:val="en-US" w:eastAsia="zh-CN"/>
        </w:rPr>
        <w:fldChar w:fldCharType="separate"/>
      </w:r>
      <w:r>
        <w:rPr>
          <w:rFonts w:hint="eastAsia" w:ascii="仿宋" w:hAnsi="仿宋" w:eastAsia="仿宋" w:cs="仿宋"/>
          <w:bCs/>
          <w:kern w:val="0"/>
          <w:sz w:val="28"/>
          <w:szCs w:val="44"/>
          <w:highlight w:val="none"/>
          <w:lang w:val="en-US" w:eastAsia="zh-CN"/>
        </w:rPr>
        <w:t>四、碳足迹核查结论</w:t>
      </w:r>
      <w:r>
        <w:rPr>
          <w:rFonts w:hint="eastAsia" w:ascii="仿宋" w:hAnsi="仿宋" w:eastAsia="仿宋" w:cs="仿宋"/>
          <w:sz w:val="28"/>
          <w:szCs w:val="32"/>
        </w:rPr>
        <w:tab/>
      </w:r>
      <w:bookmarkStart w:id="5" w:name="_GoBack"/>
      <w:bookmarkEnd w:id="5"/>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_Toc12855 \h </w:instrText>
      </w:r>
      <w:r>
        <w:rPr>
          <w:rFonts w:hint="eastAsia" w:ascii="仿宋" w:hAnsi="仿宋" w:eastAsia="仿宋" w:cs="仿宋"/>
          <w:sz w:val="28"/>
          <w:szCs w:val="32"/>
        </w:rPr>
        <w:fldChar w:fldCharType="separate"/>
      </w:r>
      <w:r>
        <w:rPr>
          <w:rFonts w:hint="eastAsia" w:ascii="仿宋" w:hAnsi="仿宋" w:eastAsia="仿宋" w:cs="仿宋"/>
          <w:sz w:val="28"/>
          <w:szCs w:val="32"/>
        </w:rPr>
        <w:t>6</w:t>
      </w:r>
      <w:r>
        <w:rPr>
          <w:rFonts w:hint="eastAsia" w:ascii="仿宋" w:hAnsi="仿宋" w:eastAsia="仿宋" w:cs="仿宋"/>
          <w:sz w:val="28"/>
          <w:szCs w:val="32"/>
        </w:rPr>
        <w:fldChar w:fldCharType="end"/>
      </w:r>
      <w:r>
        <w:rPr>
          <w:rFonts w:hint="eastAsia" w:ascii="仿宋" w:hAnsi="仿宋" w:eastAsia="仿宋" w:cs="仿宋"/>
          <w:bCs/>
          <w:color w:val="auto"/>
          <w:kern w:val="0"/>
          <w:sz w:val="28"/>
          <w:szCs w:val="40"/>
          <w:highlight w:val="none"/>
          <w:lang w:val="en-US" w:eastAsia="zh-CN"/>
        </w:rPr>
        <w:fldChar w:fldCharType="end"/>
      </w:r>
    </w:p>
    <w:p>
      <w:pPr>
        <w:pStyle w:val="8"/>
        <w:tabs>
          <w:tab w:val="right" w:leader="dot" w:pos="8306"/>
        </w:tabs>
        <w:spacing w:line="720" w:lineRule="auto"/>
      </w:pPr>
      <w:r>
        <w:rPr>
          <w:rFonts w:hint="eastAsia" w:ascii="仿宋" w:hAnsi="仿宋" w:eastAsia="仿宋" w:cs="仿宋"/>
          <w:bCs/>
          <w:color w:val="auto"/>
          <w:kern w:val="0"/>
          <w:sz w:val="28"/>
          <w:szCs w:val="40"/>
          <w:highlight w:val="none"/>
          <w:lang w:val="en-US" w:eastAsia="zh-CN"/>
        </w:rPr>
        <w:fldChar w:fldCharType="begin"/>
      </w:r>
      <w:r>
        <w:rPr>
          <w:rFonts w:hint="eastAsia" w:ascii="仿宋" w:hAnsi="仿宋" w:eastAsia="仿宋" w:cs="仿宋"/>
          <w:bCs/>
          <w:kern w:val="0"/>
          <w:sz w:val="28"/>
          <w:szCs w:val="40"/>
          <w:highlight w:val="none"/>
          <w:lang w:val="en-US" w:eastAsia="zh-CN"/>
        </w:rPr>
        <w:instrText xml:space="preserve"> HYPERLINK \l _Toc10539 </w:instrText>
      </w:r>
      <w:r>
        <w:rPr>
          <w:rFonts w:hint="eastAsia" w:ascii="仿宋" w:hAnsi="仿宋" w:eastAsia="仿宋" w:cs="仿宋"/>
          <w:bCs/>
          <w:kern w:val="0"/>
          <w:sz w:val="28"/>
          <w:szCs w:val="40"/>
          <w:highlight w:val="none"/>
          <w:lang w:val="en-US" w:eastAsia="zh-CN"/>
        </w:rPr>
        <w:fldChar w:fldCharType="separate"/>
      </w:r>
      <w:r>
        <w:rPr>
          <w:rFonts w:hint="eastAsia" w:ascii="仿宋" w:hAnsi="仿宋" w:eastAsia="仿宋" w:cs="仿宋"/>
          <w:bCs/>
          <w:kern w:val="0"/>
          <w:sz w:val="28"/>
          <w:szCs w:val="44"/>
          <w:highlight w:val="none"/>
          <w:lang w:val="en-US" w:eastAsia="zh-CN"/>
        </w:rPr>
        <w:t>五、利用核查结果对其产品的碳足迹进行改善</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_Toc10539 \h </w:instrText>
      </w:r>
      <w:r>
        <w:rPr>
          <w:rFonts w:hint="eastAsia" w:ascii="仿宋" w:hAnsi="仿宋" w:eastAsia="仿宋" w:cs="仿宋"/>
          <w:sz w:val="28"/>
          <w:szCs w:val="32"/>
        </w:rPr>
        <w:fldChar w:fldCharType="separate"/>
      </w:r>
      <w:r>
        <w:rPr>
          <w:rFonts w:hint="eastAsia" w:ascii="仿宋" w:hAnsi="仿宋" w:eastAsia="仿宋" w:cs="仿宋"/>
          <w:sz w:val="28"/>
          <w:szCs w:val="32"/>
        </w:rPr>
        <w:t>6</w:t>
      </w:r>
      <w:r>
        <w:rPr>
          <w:rFonts w:hint="eastAsia" w:ascii="仿宋" w:hAnsi="仿宋" w:eastAsia="仿宋" w:cs="仿宋"/>
          <w:sz w:val="28"/>
          <w:szCs w:val="32"/>
        </w:rPr>
        <w:fldChar w:fldCharType="end"/>
      </w:r>
      <w:r>
        <w:rPr>
          <w:rFonts w:hint="eastAsia" w:ascii="仿宋" w:hAnsi="仿宋" w:eastAsia="仿宋" w:cs="仿宋"/>
          <w:bCs/>
          <w:color w:val="auto"/>
          <w:kern w:val="0"/>
          <w:sz w:val="28"/>
          <w:szCs w:val="40"/>
          <w:highlight w:val="none"/>
          <w:lang w:val="en-US" w:eastAsia="zh-CN"/>
        </w:rPr>
        <w:fldChar w:fldCharType="end"/>
      </w: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r>
        <w:rPr>
          <w:rFonts w:hint="eastAsia" w:ascii="Times New Roman" w:hAnsi="Times New Roman" w:eastAsia="仿宋_GB2312" w:cs="Times New Roman"/>
          <w:bCs/>
          <w:color w:val="auto"/>
          <w:kern w:val="0"/>
          <w:szCs w:val="28"/>
          <w:highlight w:val="none"/>
          <w:lang w:val="en-US" w:eastAsia="zh-CN"/>
        </w:rPr>
        <w:fldChar w:fldCharType="end"/>
      </w: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13"/>
        <w:widowControl/>
        <w:snapToGrid w:val="0"/>
        <w:spacing w:line="360" w:lineRule="auto"/>
        <w:ind w:left="0" w:leftChars="0" w:firstLine="0" w:firstLineChars="0"/>
        <w:jc w:val="center"/>
        <w:rPr>
          <w:rFonts w:hint="eastAsia" w:ascii="Times New Roman" w:hAnsi="Times New Roman" w:eastAsia="仿宋_GB2312" w:cs="Times New Roman"/>
          <w:b/>
          <w:bCs/>
          <w:color w:val="auto"/>
          <w:kern w:val="0"/>
          <w:sz w:val="28"/>
          <w:szCs w:val="28"/>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eastAsia="仿宋_GB2312" w:cs="Times New Roman"/>
          <w:b/>
          <w:bCs/>
          <w:color w:val="auto"/>
          <w:kern w:val="0"/>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eastAsia="仿宋_GB2312" w:cs="Times New Roman"/>
          <w:b/>
          <w:bCs/>
          <w:color w:val="auto"/>
          <w:kern w:val="0"/>
          <w:sz w:val="24"/>
          <w:szCs w:val="24"/>
          <w:highlight w:val="none"/>
          <w:lang w:val="en-US" w:eastAsia="zh-CN"/>
        </w:rPr>
      </w:pPr>
      <w:bookmarkStart w:id="0" w:name="_Toc30079"/>
      <w:r>
        <w:rPr>
          <w:rFonts w:hint="eastAsia" w:ascii="Times New Roman" w:hAnsi="Times New Roman" w:eastAsia="仿宋_GB2312" w:cs="Times New Roman"/>
          <w:b/>
          <w:bCs/>
          <w:color w:val="auto"/>
          <w:kern w:val="0"/>
          <w:sz w:val="24"/>
          <w:szCs w:val="24"/>
          <w:highlight w:val="none"/>
          <w:lang w:val="en-US" w:eastAsia="zh-CN"/>
        </w:rPr>
        <w:t>一、</w:t>
      </w:r>
      <w:r>
        <w:rPr>
          <w:rFonts w:hint="eastAsia" w:ascii="Times New Roman" w:hAnsi="Times New Roman" w:eastAsia="仿宋" w:cs="Times New Roman"/>
          <w:sz w:val="32"/>
          <w:szCs w:val="32"/>
          <w:lang w:val="en-US" w:eastAsia="zh-CN"/>
        </w:rPr>
        <w:t>概述</w:t>
      </w:r>
      <w:bookmarkEnd w:id="0"/>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b/>
          <w:bCs/>
          <w:color w:val="auto"/>
          <w:kern w:val="0"/>
          <w:sz w:val="28"/>
          <w:szCs w:val="28"/>
          <w:highlight w:val="none"/>
          <w:lang w:val="en-US" w:eastAsia="zh-CN"/>
        </w:rPr>
      </w:pPr>
      <w:r>
        <w:rPr>
          <w:rFonts w:hint="default" w:ascii="Times New Roman" w:hAnsi="Times New Roman" w:eastAsia="仿宋" w:cs="Times New Roman"/>
          <w:b/>
          <w:bCs/>
          <w:color w:val="auto"/>
          <w:kern w:val="0"/>
          <w:sz w:val="28"/>
          <w:szCs w:val="28"/>
          <w:highlight w:val="none"/>
          <w:lang w:val="en-US" w:eastAsia="zh-CN"/>
        </w:rPr>
        <w:t>1.1产品碳足迹</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产品碳足迹（Product CarbFootprint, PCF）是指衡量某个产品在其生命周期各阶段的温室气体排放量总和，即从原材料开采、产品生产（或服务提供）、分销、使用到最终处置/再生利用等多个阶段的各种温室气体排放的累加。温室气体包括二氧化碳（CO</w:t>
      </w:r>
      <w:r>
        <w:rPr>
          <w:rFonts w:hint="default" w:ascii="Times New Roman" w:hAnsi="Times New Roman" w:eastAsia="仿宋" w:cs="Times New Roman"/>
          <w:color w:val="auto"/>
          <w:kern w:val="0"/>
          <w:sz w:val="28"/>
          <w:szCs w:val="28"/>
          <w:highlight w:val="none"/>
          <w:vertAlign w:val="subscript"/>
          <w:lang w:val="en-US" w:eastAsia="zh-CN"/>
        </w:rPr>
        <w:t>2</w:t>
      </w:r>
      <w:r>
        <w:rPr>
          <w:rFonts w:hint="default" w:ascii="Times New Roman" w:hAnsi="Times New Roman" w:eastAsia="仿宋" w:cs="Times New Roman"/>
          <w:color w:val="auto"/>
          <w:kern w:val="0"/>
          <w:sz w:val="28"/>
          <w:szCs w:val="28"/>
          <w:highlight w:val="none"/>
          <w:lang w:val="en-US" w:eastAsia="zh-CN"/>
        </w:rPr>
        <w:t>）、甲烷（CH</w:t>
      </w:r>
      <w:r>
        <w:rPr>
          <w:rFonts w:hint="default" w:ascii="Times New Roman" w:hAnsi="Times New Roman" w:eastAsia="仿宋" w:cs="Times New Roman"/>
          <w:color w:val="auto"/>
          <w:kern w:val="0"/>
          <w:sz w:val="28"/>
          <w:szCs w:val="28"/>
          <w:highlight w:val="none"/>
          <w:vertAlign w:val="subscript"/>
          <w:lang w:val="en-US" w:eastAsia="zh-CN"/>
        </w:rPr>
        <w:t>4</w:t>
      </w:r>
      <w:r>
        <w:rPr>
          <w:rFonts w:hint="default" w:ascii="Times New Roman" w:hAnsi="Times New Roman" w:eastAsia="仿宋" w:cs="Times New Roman"/>
          <w:color w:val="auto"/>
          <w:kern w:val="0"/>
          <w:sz w:val="28"/>
          <w:szCs w:val="28"/>
          <w:highlight w:val="none"/>
          <w:lang w:val="en-US" w:eastAsia="zh-CN"/>
        </w:rPr>
        <w:t>）、氧化亚氮（N</w:t>
      </w:r>
      <w:r>
        <w:rPr>
          <w:rFonts w:hint="default" w:ascii="Times New Roman" w:hAnsi="Times New Roman" w:eastAsia="仿宋" w:cs="Times New Roman"/>
          <w:color w:val="auto"/>
          <w:kern w:val="0"/>
          <w:sz w:val="28"/>
          <w:szCs w:val="28"/>
          <w:highlight w:val="none"/>
          <w:vertAlign w:val="subscript"/>
          <w:lang w:val="en-US" w:eastAsia="zh-CN"/>
        </w:rPr>
        <w:t>2</w:t>
      </w:r>
      <w:r>
        <w:rPr>
          <w:rFonts w:hint="default" w:ascii="Times New Roman" w:hAnsi="Times New Roman" w:eastAsia="仿宋" w:cs="Times New Roman"/>
          <w:color w:val="auto"/>
          <w:kern w:val="0"/>
          <w:sz w:val="28"/>
          <w:szCs w:val="28"/>
          <w:highlight w:val="none"/>
          <w:lang w:val="en-US" w:eastAsia="zh-CN"/>
        </w:rPr>
        <w:t>O）、氢氟碳化物（HFC）、全氟化碳（PFC）和三氟化氮（NF</w:t>
      </w:r>
      <w:r>
        <w:rPr>
          <w:rFonts w:hint="default" w:ascii="Times New Roman" w:hAnsi="Times New Roman" w:eastAsia="仿宋" w:cs="Times New Roman"/>
          <w:color w:val="auto"/>
          <w:kern w:val="0"/>
          <w:sz w:val="28"/>
          <w:szCs w:val="28"/>
          <w:highlight w:val="none"/>
          <w:vertAlign w:val="subscript"/>
          <w:lang w:val="en-US" w:eastAsia="zh-CN"/>
        </w:rPr>
        <w:t>3</w:t>
      </w:r>
      <w:r>
        <w:rPr>
          <w:rFonts w:hint="default" w:ascii="Times New Roman" w:hAnsi="Times New Roman" w:eastAsia="仿宋" w:cs="Times New Roman"/>
          <w:color w:val="auto"/>
          <w:kern w:val="0"/>
          <w:sz w:val="28"/>
          <w:szCs w:val="28"/>
          <w:highlight w:val="none"/>
          <w:lang w:val="en-US" w:eastAsia="zh-CN"/>
        </w:rPr>
        <w:t>）等。产品碳足迹的计算结果为产品生命周期各种温室气体排放量的加权之和，用二氧化碳当量(CO</w:t>
      </w:r>
      <w:r>
        <w:rPr>
          <w:rFonts w:hint="default" w:ascii="Times New Roman" w:hAnsi="Times New Roman" w:eastAsia="仿宋" w:cs="Times New Roman"/>
          <w:color w:val="auto"/>
          <w:kern w:val="0"/>
          <w:sz w:val="28"/>
          <w:szCs w:val="28"/>
          <w:highlight w:val="none"/>
          <w:vertAlign w:val="subscript"/>
          <w:lang w:val="en-US" w:eastAsia="zh-CN"/>
        </w:rPr>
        <w:t>2</w:t>
      </w:r>
      <w:r>
        <w:rPr>
          <w:rFonts w:hint="default" w:ascii="Times New Roman" w:hAnsi="Times New Roman" w:eastAsia="仿宋" w:cs="Times New Roman"/>
          <w:color w:val="auto"/>
          <w:kern w:val="0"/>
          <w:sz w:val="28"/>
          <w:szCs w:val="28"/>
          <w:highlight w:val="none"/>
          <w:lang w:val="en-US" w:eastAsia="zh-CN"/>
        </w:rPr>
        <w:t>e)表示，单位为kgCO</w:t>
      </w:r>
      <w:r>
        <w:rPr>
          <w:rFonts w:hint="default" w:ascii="Times New Roman" w:hAnsi="Times New Roman" w:eastAsia="仿宋" w:cs="Times New Roman"/>
          <w:color w:val="auto"/>
          <w:kern w:val="0"/>
          <w:sz w:val="28"/>
          <w:szCs w:val="28"/>
          <w:highlight w:val="none"/>
          <w:vertAlign w:val="subscript"/>
          <w:lang w:val="en-US" w:eastAsia="zh-CN"/>
        </w:rPr>
        <w:t>2</w:t>
      </w:r>
      <w:r>
        <w:rPr>
          <w:rFonts w:hint="default" w:ascii="Times New Roman" w:hAnsi="Times New Roman" w:eastAsia="仿宋" w:cs="Times New Roman"/>
          <w:color w:val="auto"/>
          <w:kern w:val="0"/>
          <w:sz w:val="28"/>
          <w:szCs w:val="28"/>
          <w:highlight w:val="none"/>
          <w:lang w:val="en-US" w:eastAsia="zh-CN"/>
        </w:rPr>
        <w:t>e或者gCO</w:t>
      </w:r>
      <w:r>
        <w:rPr>
          <w:rFonts w:hint="default" w:ascii="Times New Roman" w:hAnsi="Times New Roman" w:eastAsia="仿宋" w:cs="Times New Roman"/>
          <w:color w:val="auto"/>
          <w:kern w:val="0"/>
          <w:sz w:val="28"/>
          <w:szCs w:val="28"/>
          <w:highlight w:val="none"/>
          <w:vertAlign w:val="subscript"/>
          <w:lang w:val="en-US" w:eastAsia="zh-CN"/>
        </w:rPr>
        <w:t>2</w:t>
      </w:r>
      <w:r>
        <w:rPr>
          <w:rFonts w:hint="default" w:ascii="Times New Roman" w:hAnsi="Times New Roman" w:eastAsia="仿宋" w:cs="Times New Roman"/>
          <w:color w:val="auto"/>
          <w:kern w:val="0"/>
          <w:sz w:val="28"/>
          <w:szCs w:val="28"/>
          <w:highlight w:val="none"/>
          <w:lang w:val="en-US" w:eastAsia="zh-CN"/>
        </w:rPr>
        <w:t>e。全球变暖潜值(Global Warming Potential,简称 GWP),即各种温室气体的二氧化碳当量值，通常采用联合国政府间气候变化专家委员会（IPCC）提供的值，目前这套因子被全球范围广泛适用。产品碳足迹已经成为一个行之有效的 定量指标，用于衡量企业的绩效，管理水平和产品对气候变化的影响大小。</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产品碳足迹计算包含一个完整生命周期评估(LCA)的温室气体排放之和。基于LCA的评价方法，国际上巳建立起多种碳足迹评估指南和要求，用于产品碳足迹认证，目前广泛使用的碳足迹评估标准有三种：</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（1）《PAS2050商品和服务在生命周期内的温室气体排 放评价规范》，此标准是由英国标准协会(BSI)与碳信托公司(CarbonTust)、英国食品和乡村事务部(Defa)联合发布, 是国际上最早的、具有具体计算方法的标准，也是目前使用较多的产品碳足迹评价标准；</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（2）《温室气体核算体系：产品寿命周期核算与报告标准》，此标准是由世界资源研究所(World Resources Institute,简称WRI)和世界可持续发展工商理事会(World Business Council for Sustainable Development, 简称WBCSD)发布的产品和供应链标准；</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（3）《IS014067温室气体一产品碳足迹量化和信息交 流的要求与指南》，此标准以PAS2050为种子文件，由国际标准化组织(ISO)编制发布。产品碳足迹核算标准的出现目的是建立一个致的、国际问认可的评估产品碳足迹的方法。</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b/>
          <w:bCs/>
          <w:color w:val="auto"/>
          <w:kern w:val="0"/>
          <w:sz w:val="28"/>
          <w:szCs w:val="28"/>
          <w:highlight w:val="none"/>
          <w:lang w:val="en-US" w:eastAsia="zh-CN"/>
        </w:rPr>
      </w:pPr>
      <w:r>
        <w:rPr>
          <w:rFonts w:hint="eastAsia" w:ascii="Times New Roman" w:hAnsi="Times New Roman" w:eastAsia="仿宋" w:cs="Times New Roman"/>
          <w:b/>
          <w:bCs/>
          <w:color w:val="auto"/>
          <w:kern w:val="0"/>
          <w:sz w:val="28"/>
          <w:szCs w:val="28"/>
          <w:highlight w:val="none"/>
          <w:lang w:val="en-US" w:eastAsia="zh-CN"/>
        </w:rPr>
        <w:t>1.2碳足迹核查目的</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产品生命周期评价和碳足迹核查作为生态设计和绿色制造实施的基础，近年来已经成为人们研究和关注的热点。开展生命周期评价和碳足迹核查能够最大限度实现资源节约和温室气体减排，对于行业绿色发展和产业升级转型、应对出口潜在的贸易壁垒而言，都是很有价值和意义的。</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为了了解产品全生命周期对环境造成的影响，企业自主开展产品碳足迹核查工作。碳足迹核查小组对产品的碳足迹进行核算与评估，报告以生命周期评价方法为基础，采用PAS2050标准《商品和服务在生命周期内的温室气体排放评价规范》中规定的碳足迹核算方法，计算得到产品碳足迹。</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b/>
          <w:bCs/>
          <w:color w:val="auto"/>
          <w:kern w:val="0"/>
          <w:sz w:val="28"/>
          <w:szCs w:val="28"/>
          <w:highlight w:val="none"/>
          <w:lang w:val="en-US" w:eastAsia="zh-CN"/>
        </w:rPr>
      </w:pPr>
      <w:r>
        <w:rPr>
          <w:rFonts w:hint="eastAsia" w:ascii="Times New Roman" w:hAnsi="Times New Roman" w:eastAsia="仿宋" w:cs="Times New Roman"/>
          <w:b/>
          <w:bCs/>
          <w:color w:val="auto"/>
          <w:kern w:val="0"/>
          <w:sz w:val="28"/>
          <w:szCs w:val="28"/>
          <w:highlight w:val="none"/>
          <w:lang w:val="en-US" w:eastAsia="zh-CN"/>
        </w:rPr>
        <w:t>1.3核查范围</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产品碳足迹是从产品生命周期的角度，将产品从原材料获取、运输、生产、使用、处置等阶段所涉及的相关温室气体排放进行调查、分析和评价。在核算过程中，首先确立了核算的产品种类、核算的边界，确定核查范围。</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b/>
          <w:bCs/>
          <w:color w:val="auto"/>
          <w:kern w:val="0"/>
          <w:sz w:val="28"/>
          <w:szCs w:val="28"/>
          <w:highlight w:val="none"/>
          <w:lang w:val="en-US" w:eastAsia="zh-CN"/>
        </w:rPr>
      </w:pPr>
      <w:r>
        <w:rPr>
          <w:rFonts w:hint="eastAsia" w:ascii="Times New Roman" w:hAnsi="Times New Roman" w:eastAsia="仿宋" w:cs="Times New Roman"/>
          <w:b/>
          <w:bCs/>
          <w:color w:val="auto"/>
          <w:kern w:val="0"/>
          <w:sz w:val="28"/>
          <w:szCs w:val="28"/>
          <w:highlight w:val="none"/>
          <w:lang w:val="en-US" w:eastAsia="zh-CN"/>
        </w:rPr>
        <w:t>1.4核查依据</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（1）PAS2050标准《商品和服务在生命周期内的温室气体排 放评价规范》；</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（2）IS014067《温室气体一产品碳足迹一量化和信息交流的要求与指南》；</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（3）《国家发展改革委办公厅关于切实做好全国碳排放权交易市场启动重点工作的通知》（发改办气候（2016）57号）；</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（4）《工业企业温室气体排放核算和报告通则》（GBT 32150-2015）；</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（5）《温室气体排放核算和报告要求》（GBT 32151-2015）</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（7）《2012年中国区域电网平均二氧化碳排放因子》；</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（8）《综合能耗计算通则》（GB/T2589-2020）；</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（9）其他相关政策、标准等。</w:t>
      </w:r>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eastAsia="仿宋_GB2312" w:cs="Times New Roman"/>
          <w:b/>
          <w:bCs/>
          <w:color w:val="auto"/>
          <w:kern w:val="0"/>
          <w:sz w:val="32"/>
          <w:szCs w:val="32"/>
          <w:highlight w:val="none"/>
          <w:lang w:val="en-US" w:eastAsia="zh-CN"/>
        </w:rPr>
      </w:pPr>
      <w:bookmarkStart w:id="1" w:name="_Toc3896"/>
      <w:r>
        <w:rPr>
          <w:rFonts w:hint="eastAsia" w:ascii="Times New Roman" w:hAnsi="Times New Roman" w:eastAsia="仿宋_GB2312" w:cs="Times New Roman"/>
          <w:b/>
          <w:bCs/>
          <w:color w:val="auto"/>
          <w:kern w:val="0"/>
          <w:sz w:val="32"/>
          <w:szCs w:val="32"/>
          <w:highlight w:val="none"/>
          <w:lang w:val="en-US" w:eastAsia="zh-CN"/>
        </w:rPr>
        <w:t>二、核查的过程和方法</w:t>
      </w:r>
      <w:bookmarkEnd w:id="1"/>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b/>
          <w:bCs/>
          <w:color w:val="auto"/>
          <w:kern w:val="0"/>
          <w:sz w:val="28"/>
          <w:szCs w:val="28"/>
          <w:highlight w:val="none"/>
          <w:lang w:val="en-US" w:eastAsia="zh-CN"/>
        </w:rPr>
      </w:pPr>
      <w:r>
        <w:rPr>
          <w:rFonts w:hint="eastAsia" w:ascii="Times New Roman" w:hAnsi="Times New Roman" w:eastAsia="仿宋" w:cs="Times New Roman"/>
          <w:b/>
          <w:bCs/>
          <w:color w:val="auto"/>
          <w:kern w:val="0"/>
          <w:sz w:val="28"/>
          <w:szCs w:val="28"/>
          <w:highlight w:val="none"/>
          <w:lang w:val="en-US" w:eastAsia="zh-CN"/>
        </w:rPr>
        <w:t>2.1核查安排</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公司成立了碳足迹核查小组，由生产部具体牵头负责。</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b/>
          <w:bCs/>
          <w:color w:val="auto"/>
          <w:kern w:val="0"/>
          <w:sz w:val="28"/>
          <w:szCs w:val="28"/>
          <w:highlight w:val="none"/>
          <w:lang w:val="en-US" w:eastAsia="zh-CN"/>
        </w:rPr>
      </w:pPr>
      <w:r>
        <w:rPr>
          <w:rFonts w:hint="eastAsia" w:ascii="Times New Roman" w:hAnsi="Times New Roman" w:eastAsia="仿宋" w:cs="Times New Roman"/>
          <w:b/>
          <w:bCs/>
          <w:color w:val="auto"/>
          <w:kern w:val="0"/>
          <w:sz w:val="28"/>
          <w:szCs w:val="28"/>
          <w:highlight w:val="none"/>
          <w:lang w:val="en-US" w:eastAsia="zh-CN"/>
        </w:rPr>
        <w:t>2.2文件评审</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核查小组于2023年2月16日对相关部门提供的相关资料进行了文件评审。文件评审对象和内容包括：企业基本信息、产品信息、生产工艺、排放设施清单、排放源清单、监测设备清单、活动水平和排放因子的相关信息等。通过文件评审, 核查小组识别出如下现场评审的重点：</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（1）产品碳足迹核算的系统边界、排放设施和排放源识别等；</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（2）系统边界内活动水平数据和参数的获取、 记录、传递和汇总的信息流管理；</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（3）核算方法和排放数据计算过程；</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（4）计量器具和监测设备的校准和维护情况；</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（5）质量保证和文件存档的核查；</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b/>
          <w:bCs/>
          <w:color w:val="auto"/>
          <w:kern w:val="0"/>
          <w:sz w:val="28"/>
          <w:szCs w:val="28"/>
          <w:highlight w:val="none"/>
          <w:lang w:val="en-US" w:eastAsia="zh-CN"/>
        </w:rPr>
      </w:pPr>
      <w:r>
        <w:rPr>
          <w:rFonts w:hint="eastAsia" w:ascii="Times New Roman" w:hAnsi="Times New Roman" w:eastAsia="仿宋" w:cs="Times New Roman"/>
          <w:b/>
          <w:bCs/>
          <w:color w:val="auto"/>
          <w:kern w:val="0"/>
          <w:sz w:val="28"/>
          <w:szCs w:val="28"/>
          <w:highlight w:val="none"/>
          <w:lang w:val="en-US" w:eastAsia="zh-CN"/>
        </w:rPr>
        <w:t>2.3现场核查</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rPr>
      </w:pPr>
      <w:r>
        <w:rPr>
          <w:rFonts w:hint="eastAsia" w:ascii="Times New Roman" w:hAnsi="Times New Roman" w:eastAsia="仿宋" w:cs="Times New Roman"/>
          <w:color w:val="auto"/>
          <w:kern w:val="0"/>
          <w:sz w:val="28"/>
          <w:szCs w:val="28"/>
          <w:highlight w:val="none"/>
          <w:lang w:val="en-US" w:eastAsia="zh-CN"/>
        </w:rPr>
        <w:t>核查小组于2023年1月17日对受核查产品碳足迹排放情况进行了现场核查。现场核查通过相关人员的访问、现场设施的抽样勘查、资料查阅、人员访谈等多种方式进行。</w:t>
      </w:r>
    </w:p>
    <w:p>
      <w:pPr>
        <w:pStyle w:val="3"/>
        <w:keepNext/>
        <w:keepLines/>
        <w:pageBreakBefore w:val="0"/>
        <w:widowControl w:val="0"/>
        <w:kinsoku/>
        <w:wordWrap/>
        <w:overflowPunct/>
        <w:topLinePunct w:val="0"/>
        <w:autoSpaceDE/>
        <w:autoSpaceDN/>
        <w:bidi w:val="0"/>
        <w:adjustRightInd/>
        <w:snapToGrid/>
        <w:spacing w:before="0" w:after="0"/>
        <w:textAlignment w:val="auto"/>
        <w:rPr>
          <w:rFonts w:hint="default" w:ascii="Times New Roman" w:hAnsi="Times New Roman" w:eastAsia="仿宋_GB2312" w:cs="Times New Roman"/>
          <w:b/>
          <w:bCs/>
          <w:color w:val="auto"/>
          <w:kern w:val="0"/>
          <w:sz w:val="32"/>
          <w:szCs w:val="32"/>
          <w:highlight w:val="none"/>
          <w:lang w:val="en-US" w:eastAsia="zh-CN"/>
        </w:rPr>
      </w:pPr>
      <w:bookmarkStart w:id="2" w:name="_Toc25166"/>
      <w:r>
        <w:rPr>
          <w:rFonts w:hint="eastAsia" w:ascii="Times New Roman" w:hAnsi="Times New Roman" w:eastAsia="仿宋_GB2312" w:cs="Times New Roman"/>
          <w:b/>
          <w:bCs/>
          <w:color w:val="auto"/>
          <w:kern w:val="0"/>
          <w:sz w:val="32"/>
          <w:szCs w:val="32"/>
          <w:highlight w:val="none"/>
          <w:lang w:val="en-US" w:eastAsia="zh-CN"/>
        </w:rPr>
        <w:t>三、产品碳足迹核查</w:t>
      </w:r>
      <w:bookmarkEnd w:id="2"/>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Times New Roman"/>
          <w:b/>
          <w:bCs/>
          <w:color w:val="auto"/>
          <w:kern w:val="0"/>
          <w:sz w:val="28"/>
          <w:szCs w:val="28"/>
          <w:highlight w:val="none"/>
          <w:lang w:val="en-US" w:eastAsia="zh-CN" w:bidi="ar-SA"/>
        </w:rPr>
      </w:pPr>
      <w:r>
        <w:rPr>
          <w:rFonts w:hint="eastAsia" w:ascii="Times New Roman" w:hAnsi="Times New Roman" w:eastAsia="仿宋" w:cs="Times New Roman"/>
          <w:b/>
          <w:bCs/>
          <w:color w:val="auto"/>
          <w:kern w:val="0"/>
          <w:sz w:val="28"/>
          <w:szCs w:val="28"/>
          <w:highlight w:val="none"/>
          <w:lang w:val="en-US" w:eastAsia="zh-CN" w:bidi="ar-SA"/>
        </w:rPr>
        <w:t>3.1功能单位</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考虑到生命周期评价的量化特征和公司能源消耗统计情况，核算产品为动力电池、储能电池、高倍率电池。</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Times New Roman"/>
          <w:b/>
          <w:bCs/>
          <w:color w:val="auto"/>
          <w:kern w:val="0"/>
          <w:sz w:val="28"/>
          <w:szCs w:val="28"/>
          <w:highlight w:val="none"/>
          <w:lang w:val="en-US" w:eastAsia="zh-CN" w:bidi="ar-SA"/>
        </w:rPr>
      </w:pPr>
      <w:r>
        <w:rPr>
          <w:rFonts w:hint="eastAsia" w:ascii="Times New Roman" w:hAnsi="Times New Roman" w:eastAsia="仿宋" w:cs="Times New Roman"/>
          <w:b/>
          <w:bCs/>
          <w:color w:val="auto"/>
          <w:kern w:val="0"/>
          <w:sz w:val="28"/>
          <w:szCs w:val="28"/>
          <w:highlight w:val="none"/>
          <w:lang w:val="en-US" w:eastAsia="zh-CN" w:bidi="ar-SA"/>
        </w:rPr>
        <w:t>3.2系统边界</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本次核查范围主要针对动力电池、储能电池、高倍率电池</w:t>
      </w:r>
      <w:r>
        <w:rPr>
          <w:rFonts w:hint="eastAsia" w:ascii="Times New Roman" w:hAnsi="Times New Roman" w:eastAsia="仿宋" w:cs="Times New Roman"/>
          <w:color w:val="auto"/>
          <w:kern w:val="0"/>
          <w:sz w:val="28"/>
          <w:szCs w:val="28"/>
          <w:highlight w:val="none"/>
          <w:lang w:val="en-US" w:eastAsia="zh-CN" w:bidi="ar-SA"/>
        </w:rPr>
        <w:t>生产过程中不同环节相关温室气体的排放。</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b/>
          <w:bCs/>
          <w:color w:val="auto"/>
          <w:kern w:val="0"/>
          <w:sz w:val="28"/>
          <w:szCs w:val="28"/>
          <w:highlight w:val="none"/>
          <w:lang w:val="en-US" w:eastAsia="zh-CN" w:bidi="ar-SA"/>
        </w:rPr>
      </w:pPr>
      <w:r>
        <w:rPr>
          <w:rFonts w:hint="eastAsia" w:ascii="Times New Roman" w:hAnsi="Times New Roman" w:eastAsia="仿宋" w:cs="Times New Roman"/>
          <w:b/>
          <w:bCs/>
          <w:color w:val="auto"/>
          <w:kern w:val="0"/>
          <w:sz w:val="28"/>
          <w:szCs w:val="28"/>
          <w:highlight w:val="none"/>
          <w:lang w:val="en-US" w:eastAsia="zh-CN" w:bidi="ar-SA"/>
        </w:rPr>
        <w:t>3.3数据收集</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根据PAS2050标准的要求，核查小组对公司原材料釆购信息、釆购的能耗量、存储及运输方式等，系统核算边界、生产工艺流程，温室气体排放源构成、适用核算方法、活动水平数据等信息进行核查，并通过查阅文件现场访问和电话沟通等过程完成本次产品碳足迹核查工作。</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（1）初级活动水平数据</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根据PAS2050标准的要求，初级活动水平数据应用于所有过程和材料，即产生碳足迹的组织所拥有、所经营或所控制的过程和材料。本报告初级活动水平数据包括产品生产周期系统中所有能源、物料的耗用（物料输入与输出、能源消 耗等）。这些数据是从企业或其供应商处收集和测量获得，能真实地反映了整个生产过程能源和物料的输入，以及产品/中间产品和废物的输出。</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（2）次级活动水平数据</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根据PAS2050，凡无法获得初级活动水平数据或者初级活动水平数据质量有问题（例如没有相应的测量仪表）时有必要使用直接测量以外其来源的次级数据，本报告中次级动数据主要来源是数据库和文献资料中的数据。</w:t>
      </w:r>
    </w:p>
    <w:p>
      <w:pPr>
        <w:pStyle w:val="13"/>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公司在原材料生产、运输、产品生产消耗的能源、外购电力的符合性为本次核查重点。</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color w:val="auto"/>
          <w:kern w:val="0"/>
          <w:sz w:val="28"/>
          <w:szCs w:val="28"/>
          <w:highlight w:val="none"/>
          <w:lang w:val="en-US" w:eastAsia="zh-CN" w:bidi="ar-SA"/>
        </w:rPr>
      </w:pPr>
      <w:r>
        <w:rPr>
          <w:rFonts w:hint="eastAsia" w:ascii="Times New Roman" w:hAnsi="Times New Roman" w:eastAsia="仿宋" w:cs="Times New Roman"/>
          <w:b/>
          <w:bCs/>
          <w:color w:val="auto"/>
          <w:kern w:val="0"/>
          <w:sz w:val="28"/>
          <w:szCs w:val="28"/>
          <w:highlight w:val="none"/>
          <w:lang w:val="en-US" w:eastAsia="zh-CN" w:bidi="ar-SA"/>
        </w:rPr>
        <w:t>3.4碳足迹计算</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产品碳足迹是整个产品生命周期中所有活动的所有材料、能源和废物乘以其排放因子后再加和，其计算公式如下：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drawing>
          <wp:inline distT="0" distB="0" distL="114300" distR="114300">
            <wp:extent cx="2004060" cy="300990"/>
            <wp:effectExtent l="0" t="0" r="15240" b="3810"/>
            <wp:docPr id="6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1"/>
                    <pic:cNvPicPr>
                      <a:picLocks noChangeAspect="1"/>
                    </pic:cNvPicPr>
                  </pic:nvPicPr>
                  <pic:blipFill>
                    <a:blip r:embed="rId6"/>
                    <a:stretch>
                      <a:fillRect/>
                    </a:stretch>
                  </pic:blipFill>
                  <pic:spPr>
                    <a:xfrm>
                      <a:off x="0" y="0"/>
                      <a:ext cx="2004060" cy="30099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其中：</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CF--产品碳足迹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P--活动水平数据</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Q--排放因子</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GWP--全球变暖潜势值</w:t>
      </w:r>
    </w:p>
    <w:p>
      <w:pPr>
        <w:pStyle w:val="3"/>
        <w:keepNext/>
        <w:keepLines/>
        <w:pageBreakBefore w:val="0"/>
        <w:widowControl w:val="0"/>
        <w:kinsoku/>
        <w:wordWrap/>
        <w:overflowPunct/>
        <w:topLinePunct w:val="0"/>
        <w:autoSpaceDE/>
        <w:autoSpaceDN/>
        <w:bidi w:val="0"/>
        <w:adjustRightInd/>
        <w:snapToGrid/>
        <w:spacing w:before="0" w:after="0"/>
        <w:textAlignment w:val="auto"/>
        <w:rPr>
          <w:rFonts w:hint="default" w:ascii="Times New Roman" w:hAnsi="Times New Roman" w:eastAsia="仿宋_GB2312" w:cs="Times New Roman"/>
          <w:b/>
          <w:bCs/>
          <w:color w:val="auto"/>
          <w:kern w:val="0"/>
          <w:sz w:val="32"/>
          <w:szCs w:val="32"/>
          <w:highlight w:val="none"/>
          <w:lang w:val="en-US" w:eastAsia="zh-CN"/>
        </w:rPr>
      </w:pPr>
      <w:bookmarkStart w:id="3" w:name="_Toc12855"/>
      <w:r>
        <w:rPr>
          <w:rFonts w:hint="eastAsia" w:ascii="Times New Roman" w:hAnsi="Times New Roman" w:eastAsia="仿宋_GB2312" w:cs="Times New Roman"/>
          <w:b/>
          <w:bCs/>
          <w:color w:val="auto"/>
          <w:kern w:val="0"/>
          <w:sz w:val="32"/>
          <w:szCs w:val="32"/>
          <w:highlight w:val="none"/>
          <w:lang w:val="en-US" w:eastAsia="zh-CN"/>
        </w:rPr>
        <w:t>四、碳足迹核查结论</w:t>
      </w:r>
      <w:bookmarkEnd w:id="3"/>
    </w:p>
    <w:p>
      <w:pPr>
        <w:spacing w:line="360" w:lineRule="auto"/>
        <w:ind w:firstLine="560" w:firstLineChars="200"/>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通过计算，2022年生产阶段产品碳足迹，即单位产品碳排放量为0.77tC</w:t>
      </w:r>
      <w:r>
        <w:rPr>
          <w:rFonts w:hint="eastAsia" w:ascii="Times New Roman" w:hAnsi="Times New Roman" w:eastAsia="仿宋" w:cs="Times New Roman"/>
          <w:b w:val="0"/>
          <w:bCs w:val="0"/>
          <w:color w:val="auto"/>
          <w:kern w:val="0"/>
          <w:sz w:val="28"/>
          <w:szCs w:val="28"/>
          <w:highlight w:val="none"/>
          <w:lang w:val="en-US" w:eastAsia="zh-CN" w:bidi="ar-SA"/>
        </w:rPr>
        <w:t>O</w:t>
      </w:r>
      <w:r>
        <w:rPr>
          <w:rFonts w:hint="eastAsia" w:ascii="Times New Roman" w:hAnsi="Times New Roman" w:eastAsia="仿宋" w:cs="Times New Roman"/>
          <w:b w:val="0"/>
          <w:bCs w:val="0"/>
          <w:color w:val="auto"/>
          <w:kern w:val="0"/>
          <w:sz w:val="28"/>
          <w:szCs w:val="28"/>
          <w:highlight w:val="none"/>
          <w:vertAlign w:val="subscript"/>
          <w:lang w:val="en-US" w:eastAsia="zh-CN" w:bidi="ar-SA"/>
        </w:rPr>
        <w:t>2</w:t>
      </w:r>
      <w:r>
        <w:rPr>
          <w:rFonts w:hint="eastAsia" w:ascii="Times New Roman" w:hAnsi="Times New Roman" w:eastAsia="仿宋" w:cs="Times New Roman"/>
          <w:b w:val="0"/>
          <w:bCs w:val="0"/>
          <w:color w:val="auto"/>
          <w:kern w:val="0"/>
          <w:sz w:val="28"/>
          <w:szCs w:val="28"/>
          <w:highlight w:val="none"/>
          <w:lang w:val="en-US" w:eastAsia="zh-CN" w:bidi="ar-SA"/>
        </w:rPr>
        <w:t>/</w:t>
      </w:r>
      <w:r>
        <w:rPr>
          <w:rFonts w:hint="eastAsia" w:ascii="Times New Roman" w:hAnsi="Times New Roman" w:eastAsia="仿宋_GB2312" w:cs="Times New Roman"/>
          <w:b w:val="0"/>
          <w:bCs w:val="0"/>
          <w:sz w:val="24"/>
          <w:szCs w:val="24"/>
          <w:highlight w:val="none"/>
          <w:lang w:val="en-US" w:eastAsia="zh-CN"/>
        </w:rPr>
        <w:t>万Ah</w:t>
      </w:r>
      <w:r>
        <w:rPr>
          <w:rFonts w:hint="eastAsia" w:ascii="Times New Roman" w:hAnsi="Times New Roman" w:eastAsia="仿宋" w:cs="Times New Roman"/>
          <w:color w:val="auto"/>
          <w:kern w:val="0"/>
          <w:sz w:val="28"/>
          <w:szCs w:val="28"/>
          <w:highlight w:val="none"/>
          <w:lang w:val="en-US" w:eastAsia="zh-CN" w:bidi="ar-SA"/>
        </w:rPr>
        <w:t>，具体计算如下：</w:t>
      </w:r>
    </w:p>
    <w:p>
      <w:pPr>
        <w:spacing w:line="360" w:lineRule="auto"/>
        <w:jc w:val="center"/>
        <w:rPr>
          <w:rFonts w:hint="default" w:ascii="Times New Roman" w:hAnsi="Times New Roman" w:eastAsia="仿宋_GB2312" w:cs="Times New Roman"/>
          <w:b/>
          <w:bCs/>
          <w:color w:val="auto"/>
          <w:sz w:val="28"/>
          <w:szCs w:val="28"/>
          <w:highlight w:val="none"/>
        </w:rPr>
      </w:pPr>
      <w:r>
        <w:rPr>
          <w:rFonts w:hint="eastAsia" w:ascii="Times New Roman" w:hAnsi="Times New Roman" w:eastAsia="仿宋_GB2312" w:cs="Times New Roman"/>
          <w:b/>
          <w:color w:val="auto"/>
          <w:sz w:val="28"/>
          <w:szCs w:val="28"/>
          <w:highlight w:val="none"/>
          <w:lang w:val="en-US" w:eastAsia="zh-CN"/>
        </w:rPr>
        <w:t>表4</w:t>
      </w:r>
      <w:r>
        <w:rPr>
          <w:rFonts w:hint="eastAsia" w:ascii="Times New Roman" w:hAnsi="Times New Roman" w:eastAsia="仿宋_GB2312" w:cs="Times New Roman"/>
          <w:b/>
          <w:color w:val="auto"/>
          <w:sz w:val="28"/>
          <w:szCs w:val="28"/>
          <w:highlight w:val="none"/>
        </w:rPr>
        <w:t>-</w:t>
      </w:r>
      <w:r>
        <w:rPr>
          <w:rFonts w:hint="eastAsia" w:ascii="Times New Roman" w:hAnsi="Times New Roman" w:eastAsia="仿宋_GB2312" w:cs="Times New Roman"/>
          <w:b/>
          <w:color w:val="auto"/>
          <w:sz w:val="28"/>
          <w:szCs w:val="28"/>
          <w:highlight w:val="none"/>
          <w:lang w:val="en-US" w:eastAsia="zh-CN"/>
        </w:rPr>
        <w:t>1</w:t>
      </w:r>
      <w:r>
        <w:rPr>
          <w:rFonts w:hint="default" w:ascii="Times New Roman" w:hAnsi="Times New Roman" w:eastAsia="仿宋_GB2312" w:cs="Times New Roman"/>
          <w:b/>
          <w:bCs/>
          <w:color w:val="auto"/>
          <w:sz w:val="28"/>
          <w:szCs w:val="28"/>
          <w:highlight w:val="none"/>
        </w:rPr>
        <w:t xml:space="preserve">  </w:t>
      </w:r>
      <w:r>
        <w:rPr>
          <w:rFonts w:hint="eastAsia" w:ascii="Times New Roman" w:hAnsi="Times New Roman" w:eastAsia="仿宋_GB2312" w:cs="Times New Roman"/>
          <w:b/>
          <w:bCs/>
          <w:color w:val="auto"/>
          <w:sz w:val="28"/>
          <w:szCs w:val="28"/>
          <w:highlight w:val="none"/>
          <w:lang w:val="en-US" w:eastAsia="zh-CN"/>
        </w:rPr>
        <w:t>2022年</w:t>
      </w:r>
      <w:r>
        <w:rPr>
          <w:rFonts w:hint="default" w:ascii="Times New Roman" w:hAnsi="Times New Roman" w:eastAsia="仿宋_GB2312" w:cs="Times New Roman"/>
          <w:b/>
          <w:bCs/>
          <w:color w:val="auto"/>
          <w:sz w:val="28"/>
          <w:szCs w:val="28"/>
          <w:highlight w:val="none"/>
        </w:rPr>
        <w:t>单位</w:t>
      </w:r>
      <w:r>
        <w:rPr>
          <w:rFonts w:hint="eastAsia" w:ascii="Times New Roman" w:hAnsi="Times New Roman" w:eastAsia="仿宋_GB2312" w:cs="Times New Roman"/>
          <w:b/>
          <w:bCs/>
          <w:color w:val="auto"/>
          <w:sz w:val="28"/>
          <w:szCs w:val="28"/>
          <w:highlight w:val="none"/>
          <w:lang w:val="en-US" w:eastAsia="zh-CN"/>
        </w:rPr>
        <w:t>产品</w:t>
      </w:r>
      <w:r>
        <w:rPr>
          <w:rFonts w:hint="eastAsia" w:ascii="Times New Roman" w:hAnsi="Times New Roman" w:eastAsia="仿宋_GB2312" w:cs="Times New Roman"/>
          <w:b/>
          <w:bCs/>
          <w:color w:val="auto"/>
          <w:sz w:val="28"/>
          <w:szCs w:val="28"/>
          <w:highlight w:val="none"/>
        </w:rPr>
        <w:t>碳</w:t>
      </w:r>
      <w:r>
        <w:rPr>
          <w:rFonts w:hint="default" w:ascii="Times New Roman" w:hAnsi="Times New Roman" w:eastAsia="仿宋_GB2312" w:cs="Times New Roman"/>
          <w:b/>
          <w:bCs/>
          <w:color w:val="auto"/>
          <w:sz w:val="28"/>
          <w:szCs w:val="28"/>
          <w:highlight w:val="none"/>
        </w:rPr>
        <w:t>排放量计算表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2022"/>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3082" w:type="dxa"/>
            <w:noWrap w:val="0"/>
            <w:vAlign w:val="center"/>
          </w:tcPr>
          <w:p>
            <w:pPr>
              <w:spacing w:line="360" w:lineRule="auto"/>
              <w:jc w:val="center"/>
              <w:rPr>
                <w:rFonts w:hint="default" w:ascii="Times New Roman" w:hAnsi="Times New Roman" w:eastAsia="仿宋" w:cs="Times New Roman"/>
                <w:b/>
                <w:sz w:val="24"/>
                <w:szCs w:val="24"/>
              </w:rPr>
            </w:pPr>
            <w:r>
              <w:rPr>
                <w:rFonts w:eastAsia="仿宋_GB2312"/>
                <w:b/>
                <w:sz w:val="24"/>
                <w:szCs w:val="24"/>
                <w:highlight w:val="none"/>
              </w:rPr>
              <w:t>二氧化碳</w:t>
            </w:r>
            <w:r>
              <w:rPr>
                <w:rFonts w:ascii="Times New Roman" w:hAnsi="Times New Roman" w:eastAsia="仿宋_GB2312" w:cs="Times New Roman"/>
                <w:b/>
                <w:sz w:val="24"/>
                <w:szCs w:val="24"/>
                <w:highlight w:val="none"/>
              </w:rPr>
              <w:t>排放量（tCO</w:t>
            </w:r>
            <w:r>
              <w:rPr>
                <w:rFonts w:ascii="Times New Roman" w:hAnsi="Times New Roman" w:eastAsia="仿宋_GB2312" w:cs="Times New Roman"/>
                <w:b/>
                <w:sz w:val="24"/>
                <w:szCs w:val="24"/>
                <w:highlight w:val="none"/>
                <w:vertAlign w:val="subscript"/>
              </w:rPr>
              <w:t>2</w:t>
            </w:r>
            <w:r>
              <w:rPr>
                <w:rFonts w:ascii="Times New Roman" w:hAnsi="Times New Roman" w:eastAsia="仿宋_GB2312" w:cs="Times New Roman"/>
                <w:b/>
                <w:sz w:val="24"/>
                <w:szCs w:val="24"/>
                <w:highlight w:val="none"/>
              </w:rPr>
              <w:t>）</w:t>
            </w:r>
          </w:p>
        </w:tc>
        <w:tc>
          <w:tcPr>
            <w:tcW w:w="2022" w:type="dxa"/>
            <w:noWrap w:val="0"/>
            <w:vAlign w:val="center"/>
          </w:tcPr>
          <w:p>
            <w:pPr>
              <w:spacing w:line="360" w:lineRule="auto"/>
              <w:jc w:val="center"/>
              <w:rPr>
                <w:rFonts w:hint="default" w:ascii="Times New Roman" w:hAnsi="Times New Roman" w:eastAsia="仿宋" w:cs="Times New Roman"/>
                <w:b/>
                <w:sz w:val="24"/>
                <w:szCs w:val="24"/>
              </w:rPr>
            </w:pPr>
            <w:r>
              <w:rPr>
                <w:rFonts w:hint="eastAsia" w:ascii="Times New Roman" w:hAnsi="Times New Roman" w:eastAsia="仿宋_GB2312" w:cs="Times New Roman"/>
                <w:b/>
                <w:sz w:val="24"/>
                <w:szCs w:val="24"/>
                <w:highlight w:val="none"/>
              </w:rPr>
              <w:t>产品</w:t>
            </w:r>
            <w:r>
              <w:rPr>
                <w:rFonts w:hint="eastAsia" w:ascii="Times New Roman" w:hAnsi="Times New Roman" w:eastAsia="仿宋_GB2312" w:cs="Times New Roman"/>
                <w:b/>
                <w:sz w:val="24"/>
                <w:szCs w:val="24"/>
                <w:highlight w:val="none"/>
                <w:lang w:val="en-US" w:eastAsia="zh-CN"/>
              </w:rPr>
              <w:t>容量</w:t>
            </w:r>
            <w:r>
              <w:rPr>
                <w:rFonts w:ascii="Times New Roman" w:hAnsi="Times New Roman" w:eastAsia="仿宋_GB2312" w:cs="Times New Roman"/>
                <w:b/>
                <w:sz w:val="24"/>
                <w:szCs w:val="24"/>
                <w:highlight w:val="none"/>
              </w:rPr>
              <w:t>（</w:t>
            </w:r>
            <w:r>
              <w:rPr>
                <w:rFonts w:hint="eastAsia" w:ascii="Times New Roman" w:hAnsi="Times New Roman" w:eastAsia="仿宋_GB2312" w:cs="Times New Roman"/>
                <w:b/>
                <w:sz w:val="24"/>
                <w:szCs w:val="24"/>
                <w:highlight w:val="none"/>
                <w:lang w:val="en-US" w:eastAsia="zh-CN"/>
              </w:rPr>
              <w:t>万Ah</w:t>
            </w:r>
            <w:r>
              <w:rPr>
                <w:rFonts w:ascii="Times New Roman" w:hAnsi="Times New Roman" w:eastAsia="仿宋_GB2312" w:cs="Times New Roman"/>
                <w:b/>
                <w:sz w:val="24"/>
                <w:szCs w:val="24"/>
                <w:highlight w:val="none"/>
              </w:rPr>
              <w:t>）</w:t>
            </w:r>
          </w:p>
        </w:tc>
        <w:tc>
          <w:tcPr>
            <w:tcW w:w="3243" w:type="dxa"/>
            <w:noWrap w:val="0"/>
            <w:vAlign w:val="center"/>
          </w:tcPr>
          <w:p>
            <w:pPr>
              <w:spacing w:line="360" w:lineRule="auto"/>
              <w:jc w:val="center"/>
              <w:rPr>
                <w:rFonts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单位产品</w:t>
            </w:r>
            <w:r>
              <w:rPr>
                <w:rFonts w:hint="eastAsia" w:ascii="Times New Roman" w:hAnsi="Times New Roman" w:eastAsia="仿宋_GB2312" w:cs="Times New Roman"/>
                <w:b/>
                <w:sz w:val="24"/>
                <w:szCs w:val="24"/>
                <w:highlight w:val="none"/>
              </w:rPr>
              <w:t>二氧化碳</w:t>
            </w:r>
            <w:r>
              <w:rPr>
                <w:rFonts w:ascii="Times New Roman" w:hAnsi="Times New Roman" w:eastAsia="仿宋_GB2312" w:cs="Times New Roman"/>
                <w:b/>
                <w:sz w:val="24"/>
                <w:szCs w:val="24"/>
                <w:highlight w:val="none"/>
              </w:rPr>
              <w:t>排放量</w:t>
            </w:r>
          </w:p>
          <w:p>
            <w:pPr>
              <w:spacing w:line="360" w:lineRule="auto"/>
              <w:jc w:val="center"/>
              <w:rPr>
                <w:rFonts w:hint="default" w:ascii="Times New Roman" w:hAnsi="Times New Roman" w:eastAsia="仿宋" w:cs="Times New Roman"/>
                <w:b/>
                <w:sz w:val="24"/>
                <w:szCs w:val="24"/>
              </w:rPr>
            </w:pPr>
            <w:r>
              <w:rPr>
                <w:rFonts w:ascii="Times New Roman" w:hAnsi="Times New Roman" w:eastAsia="仿宋_GB2312" w:cs="Times New Roman"/>
                <w:b/>
                <w:sz w:val="24"/>
                <w:szCs w:val="24"/>
                <w:highlight w:val="none"/>
              </w:rPr>
              <w:t>（</w:t>
            </w:r>
            <w:r>
              <w:rPr>
                <w:rFonts w:hint="eastAsia" w:ascii="Times New Roman" w:hAnsi="Times New Roman" w:eastAsia="仿宋_GB2312" w:cs="Times New Roman"/>
                <w:b/>
                <w:sz w:val="24"/>
                <w:szCs w:val="24"/>
                <w:highlight w:val="none"/>
                <w:lang w:val="en-US" w:eastAsia="zh-CN"/>
              </w:rPr>
              <w:t>t</w:t>
            </w:r>
            <w:r>
              <w:rPr>
                <w:rFonts w:ascii="Times New Roman" w:hAnsi="Times New Roman" w:eastAsia="仿宋_GB2312" w:cs="Times New Roman"/>
                <w:b/>
                <w:sz w:val="24"/>
                <w:szCs w:val="24"/>
                <w:highlight w:val="none"/>
              </w:rPr>
              <w:t>CO</w:t>
            </w:r>
            <w:r>
              <w:rPr>
                <w:rFonts w:ascii="Times New Roman" w:hAnsi="Times New Roman" w:eastAsia="仿宋_GB2312" w:cs="Times New Roman"/>
                <w:b/>
                <w:sz w:val="24"/>
                <w:szCs w:val="24"/>
                <w:highlight w:val="none"/>
                <w:vertAlign w:val="subscript"/>
              </w:rPr>
              <w:t>2</w:t>
            </w:r>
            <w:r>
              <w:rPr>
                <w:rFonts w:ascii="Times New Roman" w:hAnsi="Times New Roman" w:eastAsia="仿宋_GB2312" w:cs="Times New Roman"/>
                <w:b/>
                <w:sz w:val="24"/>
                <w:szCs w:val="24"/>
                <w:highlight w:val="none"/>
              </w:rPr>
              <w:t>/</w:t>
            </w:r>
            <w:r>
              <w:rPr>
                <w:rFonts w:hint="eastAsia" w:ascii="Times New Roman" w:hAnsi="Times New Roman" w:eastAsia="仿宋_GB2312" w:cs="Times New Roman"/>
                <w:b/>
                <w:sz w:val="24"/>
                <w:szCs w:val="24"/>
                <w:highlight w:val="none"/>
                <w:lang w:val="en-US" w:eastAsia="zh-CN"/>
              </w:rPr>
              <w:t>万Ah</w:t>
            </w:r>
            <w:r>
              <w:rPr>
                <w:rFonts w:ascii="Times New Roman" w:hAnsi="Times New Roman" w:eastAsia="仿宋_GB2312" w:cs="Times New Roman"/>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082" w:type="dxa"/>
            <w:noWrap w:val="0"/>
            <w:vAlign w:val="center"/>
          </w:tcPr>
          <w:p>
            <w:pPr>
              <w:widowControl/>
              <w:jc w:val="center"/>
              <w:rPr>
                <w:rFonts w:hint="default" w:ascii="Times New Roman" w:hAnsi="Times New Roman" w:eastAsia="仿宋" w:cs="Times New Roman"/>
                <w:b w:val="0"/>
                <w:bCs w:val="0"/>
                <w:sz w:val="24"/>
                <w:szCs w:val="24"/>
              </w:rPr>
            </w:pPr>
            <w:r>
              <w:rPr>
                <w:rFonts w:hint="eastAsia" w:ascii="Times New Roman" w:hAnsi="Times New Roman" w:eastAsia="仿宋_GB2312" w:cs="Times New Roman"/>
                <w:kern w:val="0"/>
                <w:sz w:val="24"/>
                <w:szCs w:val="24"/>
                <w:highlight w:val="none"/>
                <w:lang w:val="en-US" w:eastAsia="zh-CN"/>
              </w:rPr>
              <w:t>7407.97</w:t>
            </w:r>
          </w:p>
        </w:tc>
        <w:tc>
          <w:tcPr>
            <w:tcW w:w="2022"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4"/>
                <w:szCs w:val="24"/>
                <w:lang w:val="en-US" w:eastAsia="zh-CN"/>
              </w:rPr>
            </w:pPr>
            <w:r>
              <w:rPr>
                <w:rFonts w:hint="eastAsia" w:ascii="Times New Roman" w:hAnsi="Times New Roman" w:cs="Times New Roman"/>
                <w:i w:val="0"/>
                <w:iCs w:val="0"/>
                <w:color w:val="000000"/>
                <w:kern w:val="0"/>
                <w:sz w:val="24"/>
                <w:szCs w:val="24"/>
                <w:u w:val="none"/>
                <w:lang w:val="en-US" w:eastAsia="zh-CN" w:bidi="ar"/>
              </w:rPr>
              <w:t>9584.59</w:t>
            </w:r>
          </w:p>
        </w:tc>
        <w:tc>
          <w:tcPr>
            <w:tcW w:w="3243" w:type="dxa"/>
            <w:noWrap w:val="0"/>
            <w:vAlign w:val="center"/>
          </w:tcPr>
          <w:p>
            <w:pPr>
              <w:widowControl/>
              <w:jc w:val="center"/>
              <w:rPr>
                <w:rFonts w:hint="default" w:ascii="Times New Roman" w:hAnsi="Times New Roman" w:eastAsia="仿宋" w:cs="Times New Roman"/>
                <w:b w:val="0"/>
                <w:bCs w:val="0"/>
                <w:sz w:val="24"/>
                <w:szCs w:val="24"/>
                <w:lang w:val="en-US" w:eastAsia="zh-CN"/>
              </w:rPr>
            </w:pPr>
            <w:r>
              <w:rPr>
                <w:rFonts w:hint="eastAsia" w:ascii="Times New Roman" w:hAnsi="Times New Roman" w:eastAsia="仿宋_GB2312" w:cs="Times New Roman"/>
                <w:kern w:val="0"/>
                <w:sz w:val="24"/>
                <w:szCs w:val="24"/>
                <w:highlight w:val="none"/>
                <w:lang w:val="en-US" w:eastAsia="zh-CN"/>
              </w:rPr>
              <w:t>0.77</w:t>
            </w:r>
          </w:p>
        </w:tc>
      </w:tr>
    </w:tbl>
    <w:p>
      <w:pPr>
        <w:spacing w:line="360" w:lineRule="auto"/>
        <w:jc w:val="center"/>
        <w:rPr>
          <w:rFonts w:hint="eastAsia" w:ascii="Times New Roman" w:hAnsi="Times New Roman" w:eastAsia="仿宋_GB2312" w:cs="Times New Roman"/>
          <w:b/>
          <w:color w:val="auto"/>
          <w:sz w:val="24"/>
          <w:szCs w:val="24"/>
          <w:highlight w:val="none"/>
          <w:lang w:eastAsia="zh-CN"/>
        </w:rPr>
      </w:pPr>
    </w:p>
    <w:p>
      <w:pPr>
        <w:spacing w:line="360" w:lineRule="auto"/>
        <w:jc w:val="center"/>
        <w:rPr>
          <w:rFonts w:hint="eastAsia" w:ascii="Times New Roman" w:hAnsi="Times New Roman" w:eastAsia="仿宋_GB2312" w:cs="Times New Roman"/>
          <w:b/>
          <w:color w:val="auto"/>
          <w:kern w:val="0"/>
          <w:sz w:val="28"/>
          <w:szCs w:val="28"/>
          <w:highlight w:val="none"/>
        </w:rPr>
      </w:pPr>
      <w:r>
        <w:rPr>
          <w:rFonts w:ascii="Times New Roman" w:hAnsi="Times New Roman" w:eastAsia="仿宋_GB2312" w:cs="Times New Roman"/>
          <w:b/>
          <w:color w:val="auto"/>
          <w:sz w:val="28"/>
          <w:szCs w:val="28"/>
          <w:highlight w:val="none"/>
        </w:rPr>
        <w:t>表</w:t>
      </w:r>
      <w:r>
        <w:rPr>
          <w:rFonts w:hint="eastAsia" w:ascii="Times New Roman" w:hAnsi="Times New Roman" w:eastAsia="仿宋_GB2312" w:cs="Times New Roman"/>
          <w:b/>
          <w:color w:val="auto"/>
          <w:sz w:val="28"/>
          <w:szCs w:val="28"/>
          <w:highlight w:val="none"/>
          <w:lang w:val="en-US" w:eastAsia="zh-CN"/>
        </w:rPr>
        <w:t>4</w:t>
      </w:r>
      <w:r>
        <w:rPr>
          <w:rFonts w:hint="eastAsia" w:ascii="Times New Roman" w:hAnsi="Times New Roman" w:eastAsia="仿宋_GB2312" w:cs="Times New Roman"/>
          <w:b/>
          <w:color w:val="auto"/>
          <w:sz w:val="28"/>
          <w:szCs w:val="28"/>
          <w:highlight w:val="none"/>
        </w:rPr>
        <w:t>-</w:t>
      </w:r>
      <w:r>
        <w:rPr>
          <w:rFonts w:hint="eastAsia" w:ascii="Times New Roman" w:hAnsi="Times New Roman" w:eastAsia="仿宋_GB2312" w:cs="Times New Roman"/>
          <w:b/>
          <w:color w:val="auto"/>
          <w:sz w:val="28"/>
          <w:szCs w:val="28"/>
          <w:highlight w:val="none"/>
          <w:lang w:val="en-US" w:eastAsia="zh-CN"/>
        </w:rPr>
        <w:t>2</w:t>
      </w:r>
      <w:r>
        <w:rPr>
          <w:rFonts w:ascii="Times New Roman" w:hAnsi="Times New Roman" w:eastAsia="仿宋_GB2312" w:cs="Times New Roman"/>
          <w:b/>
          <w:color w:val="auto"/>
          <w:sz w:val="28"/>
          <w:szCs w:val="28"/>
          <w:highlight w:val="none"/>
        </w:rPr>
        <w:t xml:space="preserve"> </w:t>
      </w:r>
      <w:r>
        <w:rPr>
          <w:rFonts w:hint="eastAsia" w:ascii="Times New Roman" w:hAnsi="Times New Roman" w:eastAsia="仿宋_GB2312" w:cs="Times New Roman"/>
          <w:b/>
          <w:color w:val="auto"/>
          <w:sz w:val="28"/>
          <w:szCs w:val="28"/>
          <w:highlight w:val="none"/>
          <w:lang w:val="en-US" w:eastAsia="zh-CN"/>
        </w:rPr>
        <w:t xml:space="preserve"> 2022年产品生产过程碳足迹核查结果</w:t>
      </w:r>
    </w:p>
    <w:tbl>
      <w:tblPr>
        <w:tblStyle w:val="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636"/>
        <w:gridCol w:w="23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jc w:val="center"/>
        </w:trPr>
        <w:tc>
          <w:tcPr>
            <w:tcW w:w="922" w:type="dxa"/>
            <w:tcBorders>
              <w:tl2br w:val="nil"/>
              <w:tr2bl w:val="nil"/>
            </w:tcBorders>
            <w:shd w:val="clear" w:color="auto" w:fill="auto"/>
            <w:vAlign w:val="center"/>
          </w:tcPr>
          <w:p>
            <w:pPr>
              <w:spacing w:line="360" w:lineRule="auto"/>
              <w:jc w:val="center"/>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序号</w:t>
            </w:r>
          </w:p>
        </w:tc>
        <w:tc>
          <w:tcPr>
            <w:tcW w:w="3636" w:type="dxa"/>
            <w:tcBorders>
              <w:tl2br w:val="nil"/>
              <w:tr2bl w:val="nil"/>
            </w:tcBorders>
            <w:shd w:val="clear" w:color="auto" w:fill="auto"/>
            <w:vAlign w:val="center"/>
          </w:tcPr>
          <w:p>
            <w:pPr>
              <w:spacing w:line="360" w:lineRule="auto"/>
              <w:jc w:val="center"/>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排放源</w:t>
            </w:r>
          </w:p>
        </w:tc>
        <w:tc>
          <w:tcPr>
            <w:tcW w:w="2320" w:type="dxa"/>
            <w:tcBorders>
              <w:tl2br w:val="nil"/>
              <w:tr2bl w:val="nil"/>
            </w:tcBorders>
            <w:shd w:val="clear" w:color="auto" w:fill="auto"/>
            <w:vAlign w:val="center"/>
          </w:tcPr>
          <w:p>
            <w:pPr>
              <w:spacing w:line="360" w:lineRule="auto"/>
              <w:jc w:val="center"/>
              <w:rPr>
                <w:rFonts w:hint="eastAsia" w:ascii="Times New Roman" w:hAnsi="Times New Roman" w:eastAsia="仿宋" w:cs="Times New Roman"/>
                <w:b/>
                <w:sz w:val="24"/>
                <w:szCs w:val="24"/>
              </w:rPr>
            </w:pPr>
            <w:r>
              <w:rPr>
                <w:rFonts w:hint="eastAsia" w:ascii="Times New Roman" w:hAnsi="Times New Roman" w:eastAsia="仿宋" w:cs="Times New Roman"/>
                <w:b/>
                <w:sz w:val="24"/>
                <w:szCs w:val="24"/>
              </w:rPr>
              <w:t>二氧化碳排放量</w:t>
            </w:r>
          </w:p>
          <w:p>
            <w:pPr>
              <w:spacing w:line="360" w:lineRule="auto"/>
              <w:jc w:val="center"/>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rPr>
              <w:t>（</w:t>
            </w:r>
            <w:r>
              <w:rPr>
                <w:rFonts w:hint="default" w:ascii="Times New Roman" w:hAnsi="Times New Roman" w:eastAsia="仿宋" w:cs="Times New Roman"/>
                <w:b/>
                <w:sz w:val="24"/>
                <w:szCs w:val="24"/>
              </w:rPr>
              <w:t>tCO</w:t>
            </w:r>
            <w:r>
              <w:rPr>
                <w:rFonts w:hint="default" w:ascii="Times New Roman" w:hAnsi="Times New Roman" w:eastAsia="仿宋" w:cs="Times New Roman"/>
                <w:b/>
                <w:sz w:val="24"/>
                <w:szCs w:val="24"/>
                <w:vertAlign w:val="subscript"/>
              </w:rPr>
              <w:t>2</w:t>
            </w:r>
            <w:r>
              <w:rPr>
                <w:rFonts w:hint="eastAsia" w:ascii="Times New Roman" w:hAnsi="Times New Roman" w:eastAsia="仿宋" w:cs="Times New Roman"/>
                <w:b/>
                <w:sz w:val="24"/>
                <w:szCs w:val="24"/>
              </w:rPr>
              <w:t>）</w:t>
            </w:r>
          </w:p>
        </w:tc>
        <w:tc>
          <w:tcPr>
            <w:tcW w:w="1421" w:type="dxa"/>
            <w:tcBorders>
              <w:tl2br w:val="nil"/>
              <w:tr2bl w:val="nil"/>
            </w:tcBorders>
            <w:shd w:val="clear" w:color="auto" w:fill="auto"/>
            <w:vAlign w:val="center"/>
          </w:tcPr>
          <w:p>
            <w:pPr>
              <w:spacing w:line="360" w:lineRule="auto"/>
              <w:jc w:val="center"/>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2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3636" w:type="dxa"/>
            <w:tcBorders>
              <w:tl2br w:val="nil"/>
              <w:tr2bl w:val="nil"/>
            </w:tcBorders>
            <w:shd w:val="clear" w:color="auto" w:fill="auto"/>
            <w:vAlign w:val="center"/>
          </w:tcPr>
          <w:p>
            <w:pPr>
              <w:widowControl/>
              <w:jc w:val="center"/>
              <w:rPr>
                <w:rFonts w:hint="default" w:ascii="Times New Roman" w:hAnsi="Times New Roman" w:eastAsia="仿宋" w:cs="Times New Roman"/>
                <w:b w:val="0"/>
                <w:bCs/>
                <w:sz w:val="24"/>
                <w:szCs w:val="24"/>
              </w:rPr>
            </w:pPr>
            <w:r>
              <w:rPr>
                <w:rFonts w:hint="default" w:ascii="Times New Roman" w:hAnsi="Times New Roman" w:eastAsia="仿宋" w:cs="Times New Roman"/>
                <w:i w:val="0"/>
                <w:iCs w:val="0"/>
                <w:color w:val="000000"/>
                <w:kern w:val="0"/>
                <w:sz w:val="24"/>
                <w:szCs w:val="24"/>
                <w:u w:val="none"/>
                <w:lang w:val="en-US" w:eastAsia="zh-CN" w:bidi="ar"/>
              </w:rPr>
              <w:t>企业二氧化碳排放</w:t>
            </w:r>
          </w:p>
        </w:tc>
        <w:tc>
          <w:tcPr>
            <w:tcW w:w="2320" w:type="dxa"/>
            <w:tcBorders>
              <w:tl2br w:val="nil"/>
              <w:tr2bl w:val="nil"/>
            </w:tcBorders>
            <w:shd w:val="clear" w:color="auto" w:fill="auto"/>
            <w:vAlign w:val="center"/>
          </w:tcPr>
          <w:p>
            <w:pPr>
              <w:widowControl/>
              <w:jc w:val="center"/>
              <w:rPr>
                <w:rFonts w:hint="default" w:ascii="Times New Roman" w:hAnsi="Times New Roman" w:eastAsia="仿宋" w:cs="Times New Roman"/>
                <w:b w:val="0"/>
                <w:bCs/>
                <w:sz w:val="24"/>
                <w:szCs w:val="24"/>
                <w:lang w:val="en-US" w:eastAsia="zh-CN"/>
              </w:rPr>
            </w:pPr>
            <w:r>
              <w:rPr>
                <w:rFonts w:hint="eastAsia" w:ascii="Times New Roman" w:hAnsi="Times New Roman" w:eastAsia="仿宋_GB2312" w:cs="Times New Roman"/>
                <w:kern w:val="0"/>
                <w:sz w:val="24"/>
                <w:szCs w:val="24"/>
                <w:highlight w:val="none"/>
                <w:lang w:val="en-US" w:eastAsia="zh-CN"/>
              </w:rPr>
              <w:t>7407.97</w:t>
            </w:r>
          </w:p>
        </w:tc>
        <w:tc>
          <w:tcPr>
            <w:tcW w:w="1421" w:type="dxa"/>
            <w:tcBorders>
              <w:tl2br w:val="nil"/>
              <w:tr2bl w:val="nil"/>
            </w:tcBorders>
            <w:shd w:val="clear" w:color="auto" w:fill="auto"/>
            <w:vAlign w:val="center"/>
          </w:tcPr>
          <w:p>
            <w:pPr>
              <w:widowControl/>
              <w:jc w:val="center"/>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2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sz w:val="24"/>
                <w:szCs w:val="24"/>
                <w:lang w:val="en-US" w:eastAsia="zh-CN"/>
              </w:rPr>
            </w:pPr>
            <w:bookmarkStart w:id="4" w:name="_Toc10539"/>
            <w:r>
              <w:rPr>
                <w:rFonts w:hint="eastAsia" w:ascii="Times New Roman" w:hAnsi="Times New Roman" w:eastAsia="仿宋" w:cs="Times New Roman"/>
                <w:i w:val="0"/>
                <w:iCs w:val="0"/>
                <w:color w:val="000000"/>
                <w:kern w:val="0"/>
                <w:sz w:val="24"/>
                <w:szCs w:val="24"/>
                <w:u w:val="none"/>
                <w:lang w:val="en-US" w:eastAsia="zh-CN" w:bidi="ar"/>
              </w:rPr>
              <w:t>2</w:t>
            </w:r>
          </w:p>
        </w:tc>
        <w:tc>
          <w:tcPr>
            <w:tcW w:w="3636" w:type="dxa"/>
            <w:tcBorders>
              <w:tl2br w:val="nil"/>
              <w:tr2bl w:val="nil"/>
            </w:tcBorders>
            <w:shd w:val="clear" w:color="auto" w:fill="auto"/>
            <w:vAlign w:val="center"/>
          </w:tcPr>
          <w:p>
            <w:pPr>
              <w:widowControl/>
              <w:jc w:val="center"/>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净购入使用电力排放</w:t>
            </w:r>
          </w:p>
        </w:tc>
        <w:tc>
          <w:tcPr>
            <w:tcW w:w="23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sz w:val="24"/>
                <w:szCs w:val="24"/>
                <w:lang w:val="en-US" w:eastAsia="zh-CN"/>
              </w:rPr>
            </w:pPr>
            <w:r>
              <w:rPr>
                <w:rFonts w:hint="eastAsia" w:ascii="Times New Roman" w:hAnsi="Times New Roman" w:eastAsia="仿宋_GB2312" w:cs="Times New Roman"/>
                <w:kern w:val="0"/>
                <w:sz w:val="24"/>
                <w:szCs w:val="24"/>
                <w:highlight w:val="none"/>
                <w:lang w:val="en-US" w:eastAsia="zh-CN"/>
              </w:rPr>
              <w:t>7407.97</w:t>
            </w:r>
          </w:p>
        </w:tc>
        <w:tc>
          <w:tcPr>
            <w:tcW w:w="14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val="0"/>
                <w:bCs/>
                <w:sz w:val="24"/>
                <w:szCs w:val="24"/>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100</w:t>
            </w:r>
            <w:r>
              <w:rPr>
                <w:rFonts w:hint="default" w:ascii="Times New Roman" w:hAnsi="Times New Roman" w:eastAsia="仿宋" w:cs="Times New Roman"/>
                <w:i w:val="0"/>
                <w:iCs w:val="0"/>
                <w:color w:val="000000"/>
                <w:kern w:val="0"/>
                <w:sz w:val="24"/>
                <w:szCs w:val="24"/>
                <w:highlight w:val="none"/>
                <w:u w:val="none"/>
                <w:lang w:val="en-US" w:eastAsia="zh-CN" w:bidi="ar"/>
              </w:rPr>
              <w:t>%</w:t>
            </w:r>
          </w:p>
        </w:tc>
      </w:tr>
    </w:tbl>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五、利用核查结果对其产品的碳足迹进行改善</w:t>
      </w:r>
      <w:bookmarkEnd w:id="4"/>
    </w:p>
    <w:p>
      <w:pPr>
        <w:spacing w:line="360" w:lineRule="auto"/>
        <w:ind w:firstLine="560" w:firstLineChars="200"/>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根据2022年动力电池、储能电池、高倍率电池</w:t>
      </w:r>
      <w:r>
        <w:rPr>
          <w:rFonts w:hint="eastAsia" w:ascii="Times New Roman" w:hAnsi="Times New Roman" w:eastAsia="仿宋" w:cs="Times New Roman"/>
          <w:color w:val="auto"/>
          <w:kern w:val="0"/>
          <w:sz w:val="28"/>
          <w:szCs w:val="28"/>
          <w:highlight w:val="none"/>
          <w:lang w:val="en-US" w:eastAsia="zh-CN" w:bidi="ar-SA"/>
        </w:rPr>
        <w:t>生产过程碳足迹核查数据，其中最高为</w:t>
      </w:r>
      <w:r>
        <w:rPr>
          <w:rFonts w:hint="default" w:ascii="Times New Roman" w:hAnsi="Times New Roman" w:eastAsia="仿宋" w:cs="Times New Roman"/>
          <w:color w:val="auto"/>
          <w:kern w:val="0"/>
          <w:sz w:val="28"/>
          <w:szCs w:val="28"/>
          <w:highlight w:val="none"/>
          <w:lang w:val="en-US" w:eastAsia="zh-CN" w:bidi="ar-SA"/>
        </w:rPr>
        <w:t>净购入使用电力排放</w:t>
      </w:r>
      <w:r>
        <w:rPr>
          <w:rFonts w:hint="eastAsia" w:ascii="Times New Roman" w:hAnsi="Times New Roman" w:eastAsia="仿宋" w:cs="Times New Roman"/>
          <w:color w:val="auto"/>
          <w:kern w:val="0"/>
          <w:sz w:val="28"/>
          <w:szCs w:val="28"/>
          <w:highlight w:val="none"/>
          <w:lang w:val="en-US" w:eastAsia="zh-CN" w:bidi="ar-SA"/>
        </w:rPr>
        <w:t>，占比为100%。公司根据核查结果提出了产品生产过程碳足迹改进建议如下：</w:t>
      </w:r>
    </w:p>
    <w:p>
      <w:pPr>
        <w:spacing w:line="360" w:lineRule="auto"/>
        <w:ind w:firstLine="560" w:firstLineChars="200"/>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（1）通过节能改造，减少电能源消耗；</w:t>
      </w:r>
    </w:p>
    <w:p>
      <w:pPr>
        <w:spacing w:line="360" w:lineRule="auto"/>
        <w:ind w:firstLine="560" w:firstLineChars="200"/>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（2）电机等拖动设备实施能效提升，减少电力消耗；</w:t>
      </w:r>
    </w:p>
    <w:p>
      <w:pPr>
        <w:spacing w:line="360" w:lineRule="auto"/>
        <w:ind w:firstLine="560" w:firstLineChars="200"/>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（3）建立厂区光伏发电系统，提高可再生能源、清洁能源利用率，减少二氧化碳排放；</w:t>
      </w:r>
    </w:p>
    <w:p>
      <w:pPr>
        <w:spacing w:line="360" w:lineRule="auto"/>
        <w:ind w:firstLine="560" w:firstLineChars="200"/>
        <w:rPr>
          <w:rFonts w:hint="eastAsia"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（4）研制低碳发展技术，通过技术创新减少生产过程中二氧化碳的排放。</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Y2FmNTFhYzdjMGFmNGZkMjZkNGQ4MDQwZmY4ZmEifQ=="/>
  </w:docVars>
  <w:rsids>
    <w:rsidRoot w:val="00000000"/>
    <w:rsid w:val="0E8F1439"/>
    <w:rsid w:val="188B3C03"/>
    <w:rsid w:val="2C5B55EB"/>
    <w:rsid w:val="50454464"/>
    <w:rsid w:val="58093FC9"/>
    <w:rsid w:val="676C2A47"/>
    <w:rsid w:val="682969E6"/>
    <w:rsid w:val="687E09FF"/>
    <w:rsid w:val="7CDE31BA"/>
    <w:rsid w:val="7EF77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utoSpaceDE w:val="0"/>
      <w:autoSpaceDN w:val="0"/>
      <w:ind w:firstLine="624"/>
      <w:jc w:val="left"/>
    </w:pPr>
    <w:rPr>
      <w:rFonts w:ascii="楷体_GB2312" w:eastAsia="楷体_GB2312"/>
      <w:w w:val="97"/>
      <w:kern w:val="0"/>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customStyle="1" w:styleId="11">
    <w:name w:val="Default"/>
    <w:basedOn w:val="12"/>
    <w:next w:val="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2">
    <w:name w:val="纯文本1"/>
    <w:basedOn w:val="1"/>
    <w:qFormat/>
    <w:uiPriority w:val="0"/>
    <w:pPr>
      <w:adjustRightInd w:val="0"/>
      <w:jc w:val="center"/>
      <w:textAlignment w:val="baseline"/>
    </w:pPr>
    <w:rPr>
      <w:rFonts w:hAnsi="Courier New"/>
    </w:rPr>
  </w:style>
  <w:style w:type="paragraph" w:customStyle="1" w:styleId="13">
    <w:name w:val="列出段落2"/>
    <w:basedOn w:val="1"/>
    <w:qFormat/>
    <w:uiPriority w:val="99"/>
    <w:pPr>
      <w:ind w:firstLine="420" w:firstLineChars="200"/>
    </w:pPr>
  </w:style>
  <w:style w:type="paragraph" w:customStyle="1" w:styleId="14">
    <w:name w:val="BodyText1I2"/>
    <w:basedOn w:val="15"/>
    <w:qFormat/>
    <w:uiPriority w:val="0"/>
    <w:pPr>
      <w:spacing w:after="120" w:line="240" w:lineRule="auto"/>
      <w:ind w:left="0" w:leftChars="0" w:firstLine="880" w:firstLineChars="200"/>
      <w:jc w:val="both"/>
    </w:pPr>
    <w:rPr>
      <w:rFonts w:eastAsia="仿宋_GB2312"/>
      <w:szCs w:val="22"/>
    </w:rPr>
  </w:style>
  <w:style w:type="paragraph" w:customStyle="1" w:styleId="15">
    <w:name w:val="BodyTextIndent"/>
    <w:basedOn w:val="1"/>
    <w:qFormat/>
    <w:uiPriority w:val="0"/>
    <w:pPr>
      <w:spacing w:after="120" w:line="240" w:lineRule="auto"/>
      <w:ind w:left="420" w:leftChars="200"/>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2789</Words>
  <Characters>3190</Characters>
  <Lines>0</Lines>
  <Paragraphs>0</Paragraphs>
  <TotalTime>0</TotalTime>
  <ScaleCrop>false</ScaleCrop>
  <LinksUpToDate>false</LinksUpToDate>
  <CharactersWithSpaces>3223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2022-07-27T13:25:00Z</dcterms:created>
  <dc:creator>Administrator</dc:creator>
  <cp:lastModifiedBy>Ami</cp:lastModifiedBy>
  <dcterms:modified xsi:type="dcterms:W3CDTF">2023-07-14T13:43:19Z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163A419A684F4F43B05920687DE8A082</vt:lpwstr>
  </property>
</Properties>
</file>